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50A1" w14:textId="3BEF9F7A" w:rsidR="00904D6D" w:rsidRPr="00B51E2C" w:rsidRDefault="00354A58" w:rsidP="00956EB6">
      <w:pPr>
        <w:pStyle w:val="Title"/>
        <w:rPr>
          <w:sz w:val="32"/>
          <w:szCs w:val="32"/>
        </w:rPr>
      </w:pPr>
      <w:bookmarkStart w:id="0" w:name="_Hlk78354194"/>
      <w:r w:rsidRPr="00B51E2C">
        <w:rPr>
          <w:sz w:val="32"/>
          <w:szCs w:val="32"/>
          <w:lang w:val="en-ID"/>
        </w:rPr>
        <w:t>Paper’s</w:t>
      </w:r>
      <w:r w:rsidRPr="00B51E2C">
        <w:rPr>
          <w:sz w:val="32"/>
          <w:szCs w:val="32"/>
        </w:rPr>
        <w:t xml:space="preserve"> </w:t>
      </w:r>
      <w:r w:rsidRPr="00B51E2C">
        <w:rPr>
          <w:sz w:val="32"/>
          <w:szCs w:val="32"/>
          <w:lang w:val="en-US"/>
        </w:rPr>
        <w:t>titl</w:t>
      </w:r>
      <w:bookmarkStart w:id="1" w:name="_GoBack"/>
      <w:bookmarkEnd w:id="1"/>
      <w:r w:rsidRPr="00B51E2C">
        <w:rPr>
          <w:sz w:val="32"/>
          <w:szCs w:val="32"/>
          <w:lang w:val="en-US"/>
        </w:rPr>
        <w:t>e</w:t>
      </w:r>
      <w:bookmarkEnd w:id="0"/>
      <w:r w:rsidRPr="00B51E2C">
        <w:rPr>
          <w:sz w:val="32"/>
          <w:szCs w:val="32"/>
          <w:lang w:val="en-US"/>
        </w:rPr>
        <w:t xml:space="preserve"> </w:t>
      </w:r>
      <w:r w:rsidR="005160A8" w:rsidRPr="00B51E2C">
        <w:rPr>
          <w:sz w:val="32"/>
          <w:szCs w:val="32"/>
        </w:rPr>
        <w:t xml:space="preserve">should be </w:t>
      </w:r>
      <w:r w:rsidR="005160A8" w:rsidRPr="00B51E2C">
        <w:rPr>
          <w:sz w:val="32"/>
          <w:szCs w:val="32"/>
          <w:lang w:val="en-US"/>
        </w:rPr>
        <w:t>t</w:t>
      </w:r>
      <w:r w:rsidR="005160A8" w:rsidRPr="00B51E2C">
        <w:rPr>
          <w:sz w:val="32"/>
          <w:szCs w:val="32"/>
        </w:rPr>
        <w:t xml:space="preserve">he fewest possible words that </w:t>
      </w:r>
      <w:r w:rsidR="005160A8" w:rsidRPr="00B51E2C">
        <w:rPr>
          <w:iCs/>
          <w:sz w:val="32"/>
          <w:szCs w:val="32"/>
        </w:rPr>
        <w:t xml:space="preserve">accurately describe </w:t>
      </w:r>
      <w:r w:rsidR="005160A8" w:rsidRPr="00B51E2C">
        <w:rPr>
          <w:iCs/>
          <w:sz w:val="32"/>
          <w:szCs w:val="32"/>
          <w:lang w:val="en-US"/>
        </w:rPr>
        <w:t>t</w:t>
      </w:r>
      <w:r w:rsidR="005160A8" w:rsidRPr="00B51E2C">
        <w:rPr>
          <w:iCs/>
          <w:sz w:val="32"/>
          <w:szCs w:val="32"/>
        </w:rPr>
        <w:t xml:space="preserve">he content </w:t>
      </w:r>
      <w:r w:rsidR="005160A8" w:rsidRPr="00B51E2C">
        <w:rPr>
          <w:iCs/>
          <w:sz w:val="32"/>
          <w:szCs w:val="32"/>
          <w:lang w:val="en-US"/>
        </w:rPr>
        <w:t>o</w:t>
      </w:r>
      <w:r w:rsidR="005160A8" w:rsidRPr="00B51E2C">
        <w:rPr>
          <w:iCs/>
          <w:sz w:val="32"/>
          <w:szCs w:val="32"/>
        </w:rPr>
        <w:t xml:space="preserve">f </w:t>
      </w:r>
      <w:r w:rsidR="005160A8" w:rsidRPr="00B51E2C">
        <w:rPr>
          <w:iCs/>
          <w:sz w:val="32"/>
          <w:szCs w:val="32"/>
          <w:lang w:val="en-US"/>
        </w:rPr>
        <w:t>t</w:t>
      </w:r>
      <w:r w:rsidR="005160A8" w:rsidRPr="00B51E2C">
        <w:rPr>
          <w:iCs/>
          <w:sz w:val="32"/>
          <w:szCs w:val="32"/>
        </w:rPr>
        <w:t>he paper</w:t>
      </w:r>
      <w:r w:rsidR="005160A8" w:rsidRPr="00B51E2C">
        <w:rPr>
          <w:iCs/>
          <w:sz w:val="32"/>
          <w:szCs w:val="32"/>
          <w:lang w:val="en-US"/>
        </w:rPr>
        <w:t xml:space="preserve"> </w:t>
      </w:r>
      <w:r w:rsidR="00904D6D" w:rsidRPr="00B51E2C">
        <w:rPr>
          <w:sz w:val="32"/>
          <w:szCs w:val="32"/>
        </w:rPr>
        <w:t>(Center, Bold, 16</w:t>
      </w:r>
      <w:proofErr w:type="spellStart"/>
      <w:r w:rsidR="00F33C08" w:rsidRPr="00B51E2C">
        <w:rPr>
          <w:sz w:val="32"/>
          <w:szCs w:val="32"/>
          <w:lang w:val="en-US"/>
        </w:rPr>
        <w:t>pt</w:t>
      </w:r>
      <w:proofErr w:type="spellEnd"/>
      <w:r w:rsidR="00904D6D" w:rsidRPr="00B51E2C">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7A9F44CF" w14:textId="15C9B50B" w:rsidR="00062EE6" w:rsidRPr="00851B56" w:rsidRDefault="007D6E10" w:rsidP="00062EE6">
      <w:pPr>
        <w:jc w:val="center"/>
        <w:rPr>
          <w:b/>
          <w:bCs/>
        </w:rPr>
      </w:pPr>
      <w:bookmarkStart w:id="2" w:name="_Hlk80000582"/>
      <w:proofErr w:type="spellStart"/>
      <w:r>
        <w:rPr>
          <w:b/>
          <w:bCs/>
        </w:rPr>
        <w:t>Saif</w:t>
      </w:r>
      <w:proofErr w:type="spellEnd"/>
      <w:r>
        <w:rPr>
          <w:b/>
          <w:bCs/>
        </w:rPr>
        <w:t xml:space="preserve"> Hannan</w:t>
      </w:r>
      <w:r>
        <w:rPr>
          <w:b/>
          <w:bCs/>
          <w:vertAlign w:val="superscript"/>
        </w:rPr>
        <w:t>1</w:t>
      </w:r>
      <w:r w:rsidR="00062EE6" w:rsidRPr="00851B56">
        <w:rPr>
          <w:b/>
          <w:bCs/>
          <w:lang w:val="id-ID"/>
        </w:rPr>
        <w:t xml:space="preserve">, </w:t>
      </w:r>
      <w:proofErr w:type="spellStart"/>
      <w:r>
        <w:rPr>
          <w:b/>
          <w:bCs/>
        </w:rPr>
        <w:t>Sikder</w:t>
      </w:r>
      <w:proofErr w:type="spellEnd"/>
      <w:r>
        <w:rPr>
          <w:b/>
          <w:bCs/>
        </w:rPr>
        <w:t xml:space="preserve"> Sunbeam Islam</w:t>
      </w:r>
      <w:r>
        <w:rPr>
          <w:b/>
          <w:bCs/>
          <w:vertAlign w:val="superscript"/>
        </w:rPr>
        <w:t>2</w:t>
      </w:r>
      <w:r>
        <w:rPr>
          <w:b/>
          <w:bCs/>
        </w:rPr>
        <w:t xml:space="preserve"> and Md. </w:t>
      </w:r>
      <w:proofErr w:type="spellStart"/>
      <w:r>
        <w:rPr>
          <w:b/>
          <w:bCs/>
        </w:rPr>
        <w:t>Jashim</w:t>
      </w:r>
      <w:proofErr w:type="spellEnd"/>
      <w:r>
        <w:rPr>
          <w:b/>
          <w:bCs/>
        </w:rPr>
        <w:t xml:space="preserve"> Uddin</w:t>
      </w:r>
      <w:r>
        <w:rPr>
          <w:b/>
          <w:bCs/>
          <w:vertAlign w:val="superscript"/>
        </w:rPr>
        <w:t>1</w:t>
      </w:r>
      <w:r w:rsidR="00062EE6" w:rsidRPr="00851B56">
        <w:rPr>
          <w:b/>
          <w:bCs/>
        </w:rPr>
        <w:t xml:space="preserve"> (10 </w:t>
      </w:r>
      <w:proofErr w:type="spellStart"/>
      <w:r w:rsidR="00062EE6" w:rsidRPr="00851B56">
        <w:rPr>
          <w:b/>
          <w:bCs/>
        </w:rPr>
        <w:t>pt</w:t>
      </w:r>
      <w:proofErr w:type="spellEnd"/>
      <w:r w:rsidR="00062EE6" w:rsidRPr="00851B56">
        <w:rPr>
          <w:b/>
          <w:bCs/>
        </w:rPr>
        <w:t>)</w:t>
      </w:r>
    </w:p>
    <w:p w14:paraId="4B1FBAC0" w14:textId="534228D6" w:rsidR="00062EE6" w:rsidRDefault="00F266B5" w:rsidP="00062EE6">
      <w:pPr>
        <w:jc w:val="center"/>
        <w:rPr>
          <w:sz w:val="16"/>
          <w:szCs w:val="16"/>
        </w:rPr>
      </w:pPr>
      <w:bookmarkStart w:id="3" w:name="_Hlk68515371"/>
      <w:r w:rsidRPr="00851B56">
        <w:rPr>
          <w:sz w:val="16"/>
          <w:szCs w:val="16"/>
          <w:vertAlign w:val="superscript"/>
        </w:rPr>
        <w:t>1</w:t>
      </w:r>
      <w:r w:rsidR="00AD1A38" w:rsidRPr="00AD1A38">
        <w:rPr>
          <w:sz w:val="16"/>
          <w:szCs w:val="16"/>
        </w:rPr>
        <w:t>Department of Elect</w:t>
      </w:r>
      <w:r w:rsidR="007D6E10">
        <w:rPr>
          <w:sz w:val="16"/>
          <w:szCs w:val="16"/>
        </w:rPr>
        <w:t xml:space="preserve">ronic and Telecommunication </w:t>
      </w:r>
      <w:r w:rsidR="00AD1A38" w:rsidRPr="00AD1A38">
        <w:rPr>
          <w:sz w:val="16"/>
          <w:szCs w:val="16"/>
        </w:rPr>
        <w:t xml:space="preserve">Engineering, </w:t>
      </w:r>
      <w:r w:rsidR="007D6E10">
        <w:rPr>
          <w:sz w:val="16"/>
          <w:szCs w:val="16"/>
        </w:rPr>
        <w:t>International Islamic University Chittagong</w:t>
      </w:r>
      <w:r w:rsidR="00AD1A38" w:rsidRPr="00AD1A38">
        <w:rPr>
          <w:sz w:val="16"/>
          <w:szCs w:val="16"/>
        </w:rPr>
        <w:t xml:space="preserve">, </w:t>
      </w:r>
      <w:proofErr w:type="spellStart"/>
      <w:r w:rsidR="007D6E10">
        <w:rPr>
          <w:sz w:val="16"/>
          <w:szCs w:val="16"/>
        </w:rPr>
        <w:t>Chattogram</w:t>
      </w:r>
      <w:proofErr w:type="spellEnd"/>
      <w:r w:rsidR="007D6E10">
        <w:rPr>
          <w:sz w:val="16"/>
          <w:szCs w:val="16"/>
        </w:rPr>
        <w:t>, Bangladesh</w:t>
      </w:r>
      <w:r w:rsidR="00062EE6" w:rsidRPr="00851B56">
        <w:rPr>
          <w:sz w:val="16"/>
          <w:szCs w:val="16"/>
        </w:rPr>
        <w:t xml:space="preserve"> (</w:t>
      </w:r>
      <w:r w:rsidR="008B4221" w:rsidRPr="00851B56">
        <w:rPr>
          <w:sz w:val="16"/>
          <w:szCs w:val="16"/>
        </w:rPr>
        <w:t>8</w:t>
      </w:r>
      <w:r w:rsidR="00062EE6" w:rsidRPr="00851B56">
        <w:rPr>
          <w:sz w:val="16"/>
          <w:szCs w:val="16"/>
        </w:rPr>
        <w:t xml:space="preserve"> </w:t>
      </w:r>
      <w:proofErr w:type="spellStart"/>
      <w:r w:rsidR="00062EE6" w:rsidRPr="00851B56">
        <w:rPr>
          <w:sz w:val="16"/>
          <w:szCs w:val="16"/>
        </w:rPr>
        <w:t>pt</w:t>
      </w:r>
      <w:proofErr w:type="spellEnd"/>
      <w:r w:rsidR="00062EE6" w:rsidRPr="00851B56">
        <w:rPr>
          <w:sz w:val="16"/>
          <w:szCs w:val="16"/>
        </w:rPr>
        <w:t>)</w:t>
      </w:r>
    </w:p>
    <w:bookmarkEnd w:id="3"/>
    <w:p w14:paraId="1B4C33D7" w14:textId="1D8F0BA7" w:rsidR="00062EE6" w:rsidRPr="00851B56" w:rsidRDefault="007D6E10" w:rsidP="00062EE6">
      <w:pPr>
        <w:jc w:val="center"/>
        <w:rPr>
          <w:sz w:val="16"/>
          <w:szCs w:val="16"/>
        </w:rPr>
      </w:pPr>
      <w:r>
        <w:rPr>
          <w:sz w:val="16"/>
          <w:szCs w:val="16"/>
          <w:vertAlign w:val="superscript"/>
        </w:rPr>
        <w:t>2</w:t>
      </w:r>
      <w:r w:rsidR="00062EE6" w:rsidRPr="00851B56">
        <w:rPr>
          <w:sz w:val="16"/>
          <w:szCs w:val="16"/>
        </w:rPr>
        <w:t>Department of Electrical</w:t>
      </w:r>
      <w:r>
        <w:rPr>
          <w:sz w:val="16"/>
          <w:szCs w:val="16"/>
        </w:rPr>
        <w:t xml:space="preserve"> and Electronic</w:t>
      </w:r>
      <w:r w:rsidR="00062EE6" w:rsidRPr="00851B56">
        <w:rPr>
          <w:sz w:val="16"/>
          <w:szCs w:val="16"/>
        </w:rPr>
        <w:t xml:space="preserve"> Engineering, </w:t>
      </w:r>
      <w:r>
        <w:rPr>
          <w:sz w:val="16"/>
          <w:szCs w:val="16"/>
        </w:rPr>
        <w:t>International Islamic University Chittagong</w:t>
      </w:r>
      <w:r w:rsidRPr="00AD1A38">
        <w:rPr>
          <w:sz w:val="16"/>
          <w:szCs w:val="16"/>
        </w:rPr>
        <w:t xml:space="preserve">, </w:t>
      </w:r>
      <w:proofErr w:type="spellStart"/>
      <w:r>
        <w:rPr>
          <w:sz w:val="16"/>
          <w:szCs w:val="16"/>
        </w:rPr>
        <w:t>Chattogram</w:t>
      </w:r>
      <w:proofErr w:type="spellEnd"/>
      <w:r>
        <w:rPr>
          <w:sz w:val="16"/>
          <w:szCs w:val="16"/>
        </w:rPr>
        <w:t>, Bangladesh</w:t>
      </w:r>
    </w:p>
    <w:bookmarkEnd w:id="2"/>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8"/>
        <w:gridCol w:w="282"/>
        <w:gridCol w:w="5775"/>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6E7F6CAB" w:rsidR="00941203" w:rsidRPr="00851B56" w:rsidRDefault="00941203" w:rsidP="00957C11">
            <w:pPr>
              <w:jc w:val="both"/>
            </w:pPr>
            <w:r w:rsidRPr="00851B56">
              <w:t xml:space="preserve">Received </w:t>
            </w:r>
            <w:r w:rsidR="00523156" w:rsidRPr="00851B56">
              <w:t>m</w:t>
            </w:r>
            <w:r w:rsidR="008A4B7F" w:rsidRPr="00851B56">
              <w:t>onth</w:t>
            </w:r>
            <w:r w:rsidR="00523156" w:rsidRPr="00851B56">
              <w:t xml:space="preserve"> </w:t>
            </w:r>
            <w:proofErr w:type="spellStart"/>
            <w:r w:rsidR="00523156" w:rsidRPr="00851B56">
              <w:t>dd</w:t>
            </w:r>
            <w:proofErr w:type="spellEnd"/>
            <w:r w:rsidR="00523156" w:rsidRPr="00851B56">
              <w:t xml:space="preserve">, </w:t>
            </w:r>
            <w:proofErr w:type="spellStart"/>
            <w:r w:rsidR="00523156" w:rsidRPr="00851B56">
              <w:t>yyyy</w:t>
            </w:r>
            <w:proofErr w:type="spellEnd"/>
          </w:p>
          <w:p w14:paraId="745B47E5" w14:textId="1EEBCE49" w:rsidR="00941203" w:rsidRPr="00851B56" w:rsidRDefault="00941203" w:rsidP="00957C11">
            <w:pPr>
              <w:jc w:val="both"/>
            </w:pPr>
            <w:r w:rsidRPr="00851B56">
              <w:t xml:space="preserve">Revised </w:t>
            </w:r>
            <w:r w:rsidR="008A4B7F" w:rsidRPr="00851B56">
              <w:t>month</w:t>
            </w:r>
            <w:r w:rsidR="00523156" w:rsidRPr="00851B56">
              <w:t xml:space="preserve"> </w:t>
            </w:r>
            <w:proofErr w:type="spellStart"/>
            <w:r w:rsidR="00523156" w:rsidRPr="00851B56">
              <w:t>dd</w:t>
            </w:r>
            <w:proofErr w:type="spellEnd"/>
            <w:r w:rsidR="00523156" w:rsidRPr="00851B56">
              <w:t xml:space="preserve">, </w:t>
            </w:r>
            <w:proofErr w:type="spellStart"/>
            <w:r w:rsidR="00523156" w:rsidRPr="00851B56">
              <w:t>yyyy</w:t>
            </w:r>
            <w:proofErr w:type="spellEnd"/>
          </w:p>
          <w:p w14:paraId="6CE20EAE" w14:textId="06415149" w:rsidR="00941203" w:rsidRDefault="00941203" w:rsidP="00957C11">
            <w:pPr>
              <w:jc w:val="both"/>
            </w:pPr>
            <w:r w:rsidRPr="00851B56">
              <w:t xml:space="preserve">Accepted </w:t>
            </w:r>
            <w:r w:rsidR="008A4B7F" w:rsidRPr="00851B56">
              <w:t>month</w:t>
            </w:r>
            <w:r w:rsidR="00523156" w:rsidRPr="00851B56">
              <w:t xml:space="preserve"> </w:t>
            </w:r>
            <w:proofErr w:type="spellStart"/>
            <w:r w:rsidR="00523156" w:rsidRPr="00851B56">
              <w:t>dd</w:t>
            </w:r>
            <w:proofErr w:type="spellEnd"/>
            <w:r w:rsidR="00523156" w:rsidRPr="00851B56">
              <w:t xml:space="preserve">, </w:t>
            </w:r>
            <w:proofErr w:type="spellStart"/>
            <w:r w:rsidR="00523156" w:rsidRPr="00851B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1CC6313E" w:rsidR="00941203" w:rsidRPr="00957C11" w:rsidRDefault="00366D08" w:rsidP="00957C11">
            <w:pPr>
              <w:spacing w:before="120"/>
              <w:jc w:val="both"/>
            </w:pPr>
            <w:r w:rsidRPr="00366D08">
              <w:rPr>
                <w:iCs/>
                <w:color w:val="000000"/>
                <w:sz w:val="18"/>
                <w:szCs w:val="18"/>
              </w:rPr>
              <w:t xml:space="preserve">The ability to stand alone is necessary since abstracts are often given independently from articles. </w:t>
            </w:r>
            <w:proofErr w:type="gramStart"/>
            <w:r w:rsidRPr="00366D08">
              <w:rPr>
                <w:iCs/>
                <w:color w:val="000000"/>
                <w:sz w:val="18"/>
                <w:szCs w:val="18"/>
              </w:rPr>
              <w:t>An</w:t>
            </w:r>
            <w:proofErr w:type="gramEnd"/>
            <w:r w:rsidRPr="00366D08">
              <w:rPr>
                <w:iCs/>
                <w:color w:val="000000"/>
                <w:sz w:val="18"/>
                <w:szCs w:val="18"/>
              </w:rPr>
              <w:t xml:space="preserve"> well written abstract gives the reader the tools they need to quickly and accurately identify the main points of a document, assess its applicability to their interests, and decide whether or not to read the full thing. The abstract should highlight key results and conclusions, define the issue clearly, describe the recommended strategy or solution, and be both informative and entirely self-explanatory. Between 100 and 200 words should make up the abstract. Avoid using references, but if they are required, list the author(s) and the year(s). Standard nomenclature should be used; rare or non-standard acronyms should be avoided; nevertheless, if necessary, they must be specified at the time of first usage in the abstract itself. It is not necessary to reference any sources. In addition to the keywords currently included in the title (9 points), the keyword list offers the chance to add an additional 5 to 7 keywords that are utilized by indexing and abstracting services.</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18D744D6" w14:textId="0529730A" w:rsidR="00941203" w:rsidRPr="00941203" w:rsidRDefault="00941203" w:rsidP="005C6511">
            <w:pPr>
              <w:spacing w:before="120" w:after="120"/>
              <w:jc w:val="right"/>
              <w:rPr>
                <w:i/>
                <w:iCs/>
                <w:color w:val="000000"/>
                <w:sz w:val="18"/>
                <w:szCs w:val="18"/>
              </w:rPr>
            </w:pP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2C3EF2F7" w14:textId="0E65C528" w:rsidR="00AD1A38" w:rsidRPr="003579E0" w:rsidRDefault="003579E0" w:rsidP="00062EE6">
            <w:pPr>
              <w:rPr>
                <w:b/>
                <w:bCs/>
              </w:rPr>
            </w:pPr>
            <w:proofErr w:type="spellStart"/>
            <w:r w:rsidRPr="003579E0">
              <w:rPr>
                <w:b/>
                <w:bCs/>
              </w:rPr>
              <w:t>Saif</w:t>
            </w:r>
            <w:proofErr w:type="spellEnd"/>
            <w:r w:rsidRPr="003579E0">
              <w:rPr>
                <w:b/>
                <w:bCs/>
              </w:rPr>
              <w:t xml:space="preserve"> </w:t>
            </w:r>
            <w:proofErr w:type="spellStart"/>
            <w:r w:rsidRPr="003579E0">
              <w:rPr>
                <w:b/>
                <w:bCs/>
              </w:rPr>
              <w:t>Hannan</w:t>
            </w:r>
            <w:proofErr w:type="spellEnd"/>
          </w:p>
          <w:p w14:paraId="190CFAB6" w14:textId="31E4DB1F" w:rsidR="00AD1A38" w:rsidRDefault="00AD1A38" w:rsidP="00062EE6">
            <w:r w:rsidRPr="00AD1A38">
              <w:t>Department of Electr</w:t>
            </w:r>
            <w:r w:rsidR="003579E0">
              <w:t>onic and Telecommunication</w:t>
            </w:r>
            <w:r w:rsidRPr="00AD1A38">
              <w:t xml:space="preserve"> Engineering, </w:t>
            </w:r>
            <w:r w:rsidR="003579E0">
              <w:t>International Islamic University Chittagong</w:t>
            </w:r>
          </w:p>
          <w:p w14:paraId="478B119B" w14:textId="605AE188" w:rsidR="00AD1A38" w:rsidRDefault="003579E0" w:rsidP="00AD1A38">
            <w:r>
              <w:t xml:space="preserve">Permanent Campus, </w:t>
            </w:r>
            <w:proofErr w:type="spellStart"/>
            <w:r>
              <w:t>Kumira</w:t>
            </w:r>
            <w:proofErr w:type="spellEnd"/>
            <w:r w:rsidR="00AD1A38">
              <w:t>,</w:t>
            </w:r>
            <w:r>
              <w:t xml:space="preserve"> </w:t>
            </w:r>
            <w:proofErr w:type="spellStart"/>
            <w:r>
              <w:t>Sitakunda</w:t>
            </w:r>
            <w:proofErr w:type="spellEnd"/>
            <w:r>
              <w:t xml:space="preserve">, </w:t>
            </w:r>
            <w:proofErr w:type="spellStart"/>
            <w:r>
              <w:t>Chattogram</w:t>
            </w:r>
            <w:proofErr w:type="spellEnd"/>
            <w:r>
              <w:t>, Bangladesh - 4318</w:t>
            </w:r>
          </w:p>
          <w:p w14:paraId="3C411EDF" w14:textId="2204FD13" w:rsidR="00941203" w:rsidRPr="00AD1A38" w:rsidRDefault="00062EE6" w:rsidP="00AD1A38">
            <w:pPr>
              <w:spacing w:after="120"/>
            </w:pPr>
            <w:r>
              <w:t xml:space="preserve">Email: </w:t>
            </w:r>
            <w:r w:rsidR="003579E0">
              <w:t>sh@iiuc.ac.bd</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5BBC35AD" w14:textId="77777777" w:rsidR="00366D08" w:rsidRPr="00366D08" w:rsidRDefault="00366D08" w:rsidP="00366D08">
      <w:pPr>
        <w:ind w:firstLine="720"/>
        <w:jc w:val="both"/>
        <w:rPr>
          <w:lang w:val="id-ID"/>
        </w:rPr>
      </w:pPr>
      <w:bookmarkStart w:id="4" w:name="_Hlk80000657"/>
      <w:bookmarkStart w:id="5" w:name="_Hlk78354294"/>
      <w:r w:rsidRPr="00366D08">
        <w:rPr>
          <w:lang w:val="id-ID"/>
        </w:rPr>
        <w:t>On A4 paper (quarto), the text is laid out in flat, left-to-right columns. Right and bottom text margins are 2 cm, while the left and top margins are 2.5 cm. The manuscript, which may be obtained from http://ijece.iaescore.com, is written in Times New Roman 10 point, single spaced in Microsoft Word, and has a maximum of 12 pages for an original research article and 16 pages for a review or survey study.</w:t>
      </w:r>
    </w:p>
    <w:p w14:paraId="5E640AD5" w14:textId="77777777" w:rsidR="00366D08" w:rsidRPr="00366D08" w:rsidRDefault="00366D08" w:rsidP="00366D08">
      <w:pPr>
        <w:ind w:firstLine="720"/>
        <w:jc w:val="both"/>
        <w:rPr>
          <w:lang w:val="id-ID"/>
        </w:rPr>
      </w:pPr>
    </w:p>
    <w:p w14:paraId="277D3344" w14:textId="0FE8E579" w:rsidR="00272BB5" w:rsidRDefault="00366D08" w:rsidP="00366D08">
      <w:pPr>
        <w:ind w:firstLine="720"/>
        <w:jc w:val="both"/>
        <w:rPr>
          <w:lang w:val="id-ID"/>
        </w:rPr>
      </w:pPr>
      <w:r w:rsidRPr="00366D08">
        <w:rPr>
          <w:lang w:val="id-ID"/>
        </w:rPr>
        <w:t>An article's title should have the fewest words that nevertheless adequately convey the paper's subject matter. A maximum of 12 words should make up the title, which should be brief and informative. If your article doesn't describe the invention of a new technique, don't include acronyms or abbreviations in your title or specify the method you employed. Information-retrieval systems often use titles. Don't use subscripts in the title when creating lengthy formulae.</w:t>
      </w:r>
      <w:r>
        <w:t xml:space="preserve"> </w:t>
      </w:r>
      <w:r w:rsidR="00354A58" w:rsidRPr="003D6B19">
        <w:rPr>
          <w:lang w:val="id-ID"/>
        </w:rPr>
        <w:t>Omit all waste words such as "</w:t>
      </w:r>
      <w:r w:rsidR="00354A58" w:rsidRPr="003D6B19">
        <w:rPr>
          <w:i/>
          <w:lang w:val="id-ID"/>
        </w:rPr>
        <w:t>A study of ...</w:t>
      </w:r>
      <w:r w:rsidR="00354A58" w:rsidRPr="003D6B19">
        <w:rPr>
          <w:lang w:val="id-ID"/>
        </w:rPr>
        <w:t>", "</w:t>
      </w:r>
      <w:r w:rsidR="00354A58" w:rsidRPr="003D6B19">
        <w:rPr>
          <w:i/>
          <w:lang w:val="id-ID"/>
        </w:rPr>
        <w:t>Investigations of ...</w:t>
      </w:r>
      <w:r w:rsidR="00354A58" w:rsidRPr="003D6B19">
        <w:rPr>
          <w:lang w:val="id-ID"/>
        </w:rPr>
        <w:t>", "</w:t>
      </w:r>
      <w:r w:rsidR="00354A58" w:rsidRPr="003D6B19">
        <w:rPr>
          <w:i/>
          <w:lang w:val="id-ID"/>
        </w:rPr>
        <w:t>Implementation of ...</w:t>
      </w:r>
      <w:r w:rsidR="00354A58" w:rsidRPr="003D6B19">
        <w:t>”</w:t>
      </w:r>
      <w:r w:rsidR="00354A58" w:rsidRPr="003D6B19">
        <w:rPr>
          <w:lang w:val="id-ID"/>
        </w:rPr>
        <w:t>, "</w:t>
      </w:r>
      <w:r w:rsidR="00354A58" w:rsidRPr="003D6B19">
        <w:rPr>
          <w:i/>
          <w:lang w:val="id-ID"/>
        </w:rPr>
        <w:t>Observations on ...</w:t>
      </w:r>
      <w:r w:rsidR="00354A58" w:rsidRPr="003D6B19">
        <w:rPr>
          <w:lang w:val="id-ID"/>
        </w:rPr>
        <w:t>", "</w:t>
      </w:r>
      <w:r w:rsidR="00354A58" w:rsidRPr="003D6B19">
        <w:rPr>
          <w:i/>
          <w:lang w:val="id-ID"/>
        </w:rPr>
        <w:t>Effect of.....</w:t>
      </w:r>
      <w:r w:rsidR="00354A58" w:rsidRPr="003D6B19">
        <w:rPr>
          <w:lang w:val="id-ID"/>
        </w:rPr>
        <w:t>",</w:t>
      </w:r>
      <w:r w:rsidR="00354A58" w:rsidRPr="003D6B19">
        <w:t xml:space="preserve"> “</w:t>
      </w:r>
      <w:r w:rsidR="00354A58" w:rsidRPr="003D6B19">
        <w:rPr>
          <w:i/>
        </w:rPr>
        <w:t>Analysis of …</w:t>
      </w:r>
      <w:r w:rsidR="00354A58" w:rsidRPr="003D6B19">
        <w:t>”, “Design of…</w:t>
      </w:r>
      <w:proofErr w:type="gramStart"/>
      <w:r w:rsidR="00354A58" w:rsidRPr="003D6B19">
        <w:t>”</w:t>
      </w:r>
      <w:r w:rsidR="00CC2F23">
        <w:t>,</w:t>
      </w:r>
      <w:proofErr w:type="gramEnd"/>
      <w:r w:rsidR="00354A58" w:rsidRPr="003D6B19">
        <w:rPr>
          <w:lang w:val="id-ID"/>
        </w:rPr>
        <w:t xml:space="preserve"> etc. </w:t>
      </w:r>
    </w:p>
    <w:p w14:paraId="343DC065" w14:textId="77777777" w:rsidR="00B6529B" w:rsidRDefault="00B6529B" w:rsidP="00354A58">
      <w:pPr>
        <w:ind w:firstLine="720"/>
        <w:jc w:val="both"/>
        <w:rPr>
          <w:lang w:val="id-ID"/>
        </w:rPr>
      </w:pPr>
      <w:r w:rsidRPr="00B6529B">
        <w:rPr>
          <w:lang w:val="id-ID"/>
        </w:rPr>
        <w:t xml:space="preserve">It is necessary to have a succinct, factual abstract. The research's goal, main findings, and main conclusions should all be concisely stated in the abstract. It must be able to stand alone as an abstract is often offered apart from the article. Because of this, references should be avoided, but if necessary, they should be cited with the author(s) and the year(s). Additionally, unusual or non-standard abbreviations should be avoided; nevertheless, if they are necessary, they must be stated at the beginning of the abstract itself. Immediately after the abstract, include no more than seven keywords in American spelling, avoiding generic and plural phrases, and avoiding terms with various meanings (avoid using words like "and" and "of"). Use acronyms sparingly; </w:t>
      </w:r>
      <w:r w:rsidRPr="00B6529B">
        <w:rPr>
          <w:lang w:val="id-ID"/>
        </w:rPr>
        <w:lastRenderedPageBreak/>
        <w:t>only those that are well-known in the industry may be acceptable. These terms will be indexed using these keywords. The quality of the title and the ability to derive from it keywords helpful for cross-referencing and computer searches are crucial for indexing and abstracting services. Be particular when titling your paper to avoid it never reaching the audience you have in mind.</w:t>
      </w:r>
    </w:p>
    <w:bookmarkEnd w:id="4"/>
    <w:bookmarkEnd w:id="5"/>
    <w:p w14:paraId="2AA83E69" w14:textId="77777777" w:rsidR="00D13CDB" w:rsidRPr="00D13CDB" w:rsidRDefault="00D13CDB" w:rsidP="00D13CDB">
      <w:pPr>
        <w:jc w:val="both"/>
        <w:rPr>
          <w:lang w:val="id-ID"/>
        </w:rPr>
      </w:pPr>
      <w:r w:rsidRPr="00D13CDB">
        <w:rPr>
          <w:lang w:val="id-ID"/>
        </w:rPr>
        <w:t>The introduction should include the following information (within 3-6 paragraphs): (i) a clear context; (ii) a clear definition of the issue; (iii) the relevant literature on the topic; (iv) the suggested strategy or solution; and (v) the new value of research, which is innovation. Colleagues from a variety of scientific fields should be able to grasp it. The bibliography is formatted and referenced using the Institute of Electrical and Electronics Engineers (IEEE) style, using the marks [1], [2], and so on. Italic (italic) is used to indicate words in foreign languages. Each segment of the text has to have its own header and be sequentially numbered [3]. On a separate line, enter the section or subsection headers, for example: 1. AN INTRODUCTION. The typical format of a complete article is as follows: Introduction, Comprehensive Theoretical Basis, Proposed Method or Algorithm (if applicable), Method, Results and Discussion, Method, Method, and Method (optional), and Conclusion. The IMRaD style of the construction is widely recognized.</w:t>
      </w:r>
    </w:p>
    <w:p w14:paraId="136F14A5" w14:textId="77777777" w:rsidR="00D13CDB" w:rsidRPr="00D13CDB" w:rsidRDefault="00D13CDB" w:rsidP="00D13CDB">
      <w:pPr>
        <w:jc w:val="both"/>
        <w:rPr>
          <w:lang w:val="id-ID"/>
        </w:rPr>
      </w:pPr>
    </w:p>
    <w:p w14:paraId="2777B0E5" w14:textId="77777777" w:rsidR="00D13CDB" w:rsidRPr="00D13CDB" w:rsidRDefault="00D13CDB" w:rsidP="00D13CDB">
      <w:pPr>
        <w:jc w:val="both"/>
        <w:rPr>
          <w:lang w:val="id-ID"/>
        </w:rPr>
      </w:pPr>
      <w:r w:rsidRPr="00D13CDB">
        <w:rPr>
          <w:lang w:val="id-ID"/>
        </w:rPr>
        <w:t>The "Introduction" part of the paper uses a literature review that the author conducted to clarify</w:t>
      </w:r>
    </w:p>
    <w:p w14:paraId="01B08C88" w14:textId="35CA0873" w:rsidR="00E619D6" w:rsidRPr="003D6B19" w:rsidRDefault="00D13CDB" w:rsidP="00D13CDB">
      <w:pPr>
        <w:jc w:val="both"/>
      </w:pPr>
      <w:r w:rsidRPr="00D13CDB">
        <w:rPr>
          <w:lang w:val="id-ID"/>
        </w:rPr>
        <w:t>The novel nature of the document sets it apart from other studies; it is used to explain the phases of the research process in the section titled "Method" and to assist the analysis of the findings in the section titled "RESULTS AND DISCUSSION" [2]. After the "introduction" part and before the "method" section, if the text is really innovative and suggests a novel technique or algorithm, a short explanation of the theory and/or the suggested method or algorithm may be provided [4].</w:t>
      </w:r>
    </w:p>
    <w:p w14:paraId="6D0BF8E6" w14:textId="77777777" w:rsidR="00E619D6" w:rsidRPr="003D6B19" w:rsidRDefault="00E619D6" w:rsidP="00E619D6">
      <w:pPr>
        <w:jc w:val="both"/>
      </w:pPr>
    </w:p>
    <w:p w14:paraId="7F5871EF" w14:textId="5F0EC751"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0019F16A" w14:textId="118F27FC" w:rsidR="00354A58" w:rsidRPr="007B39E8" w:rsidRDefault="00500C65" w:rsidP="007B39E8">
      <w:pPr>
        <w:ind w:firstLine="720"/>
        <w:jc w:val="both"/>
        <w:rPr>
          <w:lang w:val="id-ID"/>
        </w:rPr>
      </w:pPr>
      <w:bookmarkStart w:id="6" w:name="_Hlk80000746"/>
      <w:bookmarkStart w:id="7" w:name="_Hlk78354310"/>
      <w:r w:rsidRPr="00500C65">
        <w:rPr>
          <w:lang w:val="id-ID"/>
        </w:rPr>
        <w:t>Giving a chronological explanation of research, including research design, research technique (in the form of algorithms, pseudocode, or other), how to test, and data collecting [5]–[7]. In order for the explanation to be accepted scientifically, the description of the study process should be backed up with references [2], [4]. As seen below and referenced in the text [5], [8]–[13], Figures 1-2 and Table 1 are given at the middle of the page.</w:t>
      </w:r>
      <w:r w:rsidR="00354A58" w:rsidRPr="003D6B19">
        <w:rPr>
          <w:lang w:val="id-ID"/>
        </w:rPr>
        <w:t xml:space="preserve"> </w:t>
      </w:r>
      <w:r w:rsidR="00463968" w:rsidRPr="00463968">
        <w:t xml:space="preserve">Figure 2(a) showed that the difference in electrical energy extraction between the wind turbines operating in the power control mode and the rotor velocity control mode is </w:t>
      </w:r>
      <w:r w:rsidR="00463968" w:rsidRPr="007B39E8">
        <w:rPr>
          <w:lang w:val="id-ID"/>
        </w:rPr>
        <w:t>0.3≤α≤0.4</w:t>
      </w:r>
      <w:r w:rsidR="00463968" w:rsidRPr="00463968">
        <w:t xml:space="preserve">. The smoothing function is illustrated in Figure 2(b) to attain a minimum value of </w:t>
      </w:r>
      <w:r w:rsidR="00463968" w:rsidRPr="00C51C74">
        <w:rPr>
          <w:lang w:val="id-ID"/>
        </w:rPr>
        <w:t>α</w:t>
      </w:r>
      <w:r w:rsidR="00463968" w:rsidRPr="00463968">
        <w:t xml:space="preserve"> =0.4.</w:t>
      </w:r>
    </w:p>
    <w:p w14:paraId="6DE72396" w14:textId="77777777" w:rsidR="00354A58" w:rsidRPr="003D6B19" w:rsidRDefault="00354A58" w:rsidP="00354A58">
      <w:pPr>
        <w:rPr>
          <w:b/>
          <w:bCs/>
        </w:rPr>
      </w:pPr>
      <w:bookmarkStart w:id="8" w:name="_Hlk78354375"/>
    </w:p>
    <w:p w14:paraId="574D1FDC" w14:textId="24180B38" w:rsidR="00354A58" w:rsidRPr="003D6B19" w:rsidRDefault="00354A58" w:rsidP="00354A58">
      <w:pPr>
        <w:jc w:val="center"/>
        <w:rPr>
          <w:noProof/>
          <w:lang w:val="id-ID"/>
        </w:rPr>
      </w:pPr>
      <w:r w:rsidRPr="003D6B19">
        <w:rPr>
          <w:noProof/>
        </w:rPr>
        <w:drawing>
          <wp:inline distT="0" distB="0" distL="0" distR="0" wp14:anchorId="2B09132A" wp14:editId="3EC11C6D">
            <wp:extent cx="2847523" cy="25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495" cy="2529588"/>
                    </a:xfrm>
                    <a:prstGeom prst="rect">
                      <a:avLst/>
                    </a:prstGeom>
                    <a:noFill/>
                    <a:ln>
                      <a:noFill/>
                    </a:ln>
                  </pic:spPr>
                </pic:pic>
              </a:graphicData>
            </a:graphic>
          </wp:inline>
        </w:drawing>
      </w:r>
    </w:p>
    <w:p w14:paraId="44CC2A31" w14:textId="77777777" w:rsidR="00354A58" w:rsidRPr="00C51C74" w:rsidRDefault="00354A58" w:rsidP="00354A58">
      <w:pPr>
        <w:jc w:val="center"/>
        <w:rPr>
          <w:lang w:val="id-ID"/>
        </w:rPr>
      </w:pPr>
    </w:p>
    <w:p w14:paraId="4C8239F1" w14:textId="0664E7FC" w:rsidR="009E742D" w:rsidRDefault="00354A58" w:rsidP="005D3F83">
      <w:pPr>
        <w:jc w:val="center"/>
        <w:rPr>
          <w:b/>
          <w:bCs/>
        </w:rPr>
      </w:pPr>
      <w:r w:rsidRPr="003D6B19">
        <w:rPr>
          <w:lang w:val="id-ID"/>
        </w:rPr>
        <w:t xml:space="preserve">Figure 1. </w:t>
      </w:r>
      <w:r w:rsidRPr="003D6B19">
        <w:t>Effects of selecting different switching under dynamic condition</w:t>
      </w:r>
    </w:p>
    <w:p w14:paraId="36B0904A" w14:textId="682458E1" w:rsidR="009E742D" w:rsidRDefault="009E742D" w:rsidP="009E742D">
      <w:pPr>
        <w:jc w:val="center"/>
        <w:rPr>
          <w:lang w:val="id-ID"/>
        </w:rPr>
      </w:pPr>
      <w:r w:rsidRPr="003D6B19">
        <w:rPr>
          <w:lang w:val="id-ID"/>
        </w:rPr>
        <w:t xml:space="preserve">Table 1. The </w:t>
      </w:r>
      <w:r w:rsidRPr="003D6B19">
        <w:t>p</w:t>
      </w:r>
      <w:r w:rsidRPr="003D6B19">
        <w:rPr>
          <w:lang w:val="id-ID"/>
        </w:rPr>
        <w:t>erformance of ...</w:t>
      </w:r>
    </w:p>
    <w:p w14:paraId="5572A1A1" w14:textId="77777777" w:rsidR="005D3F83" w:rsidRPr="003D6B19" w:rsidRDefault="005D3F83" w:rsidP="009E742D">
      <w:pPr>
        <w:jc w:val="center"/>
        <w:rPr>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358"/>
        <w:gridCol w:w="1350"/>
      </w:tblGrid>
      <w:tr w:rsidR="009E742D" w:rsidRPr="003D6B19" w14:paraId="7A8A43EB" w14:textId="77777777" w:rsidTr="005D3F83">
        <w:trPr>
          <w:jc w:val="center"/>
        </w:trPr>
        <w:tc>
          <w:tcPr>
            <w:tcW w:w="1124" w:type="dxa"/>
          </w:tcPr>
          <w:p w14:paraId="2E9C30B1" w14:textId="77777777" w:rsidR="009E742D" w:rsidRPr="003D6B19" w:rsidRDefault="009E742D" w:rsidP="004F5FF9">
            <w:pPr>
              <w:jc w:val="center"/>
              <w:rPr>
                <w:sz w:val="16"/>
                <w:szCs w:val="16"/>
                <w:lang w:val="id-ID"/>
              </w:rPr>
            </w:pPr>
            <w:r w:rsidRPr="003D6B19">
              <w:rPr>
                <w:sz w:val="16"/>
                <w:szCs w:val="16"/>
                <w:lang w:val="id-ID"/>
              </w:rPr>
              <w:t>Variable</w:t>
            </w:r>
          </w:p>
        </w:tc>
        <w:tc>
          <w:tcPr>
            <w:tcW w:w="1358" w:type="dxa"/>
          </w:tcPr>
          <w:p w14:paraId="3904B431" w14:textId="77777777" w:rsidR="009E742D" w:rsidRPr="003D6B19" w:rsidRDefault="009E742D" w:rsidP="004F5FF9">
            <w:pPr>
              <w:jc w:val="center"/>
              <w:rPr>
                <w:sz w:val="16"/>
                <w:szCs w:val="16"/>
              </w:rPr>
            </w:pPr>
            <w:r w:rsidRPr="003D6B19">
              <w:rPr>
                <w:sz w:val="16"/>
                <w:szCs w:val="16"/>
                <w:lang w:val="id-ID"/>
              </w:rPr>
              <w:t>Speed</w:t>
            </w:r>
            <w:r w:rsidRPr="003D6B19">
              <w:rPr>
                <w:sz w:val="16"/>
                <w:szCs w:val="16"/>
              </w:rPr>
              <w:t xml:space="preserve"> (rpm)</w:t>
            </w:r>
          </w:p>
        </w:tc>
        <w:tc>
          <w:tcPr>
            <w:tcW w:w="1350" w:type="dxa"/>
          </w:tcPr>
          <w:p w14:paraId="048196FE" w14:textId="77777777" w:rsidR="009E742D" w:rsidRPr="003D6B19" w:rsidRDefault="009E742D" w:rsidP="004F5FF9">
            <w:pPr>
              <w:jc w:val="center"/>
              <w:rPr>
                <w:sz w:val="16"/>
                <w:szCs w:val="16"/>
              </w:rPr>
            </w:pPr>
            <w:r w:rsidRPr="003D6B19">
              <w:rPr>
                <w:sz w:val="16"/>
                <w:szCs w:val="16"/>
                <w:lang w:val="id-ID"/>
              </w:rPr>
              <w:t>Power</w:t>
            </w:r>
            <w:r w:rsidRPr="003D6B19">
              <w:rPr>
                <w:sz w:val="16"/>
                <w:szCs w:val="16"/>
              </w:rPr>
              <w:t xml:space="preserve"> (kW)</w:t>
            </w:r>
          </w:p>
        </w:tc>
      </w:tr>
      <w:tr w:rsidR="009E742D" w:rsidRPr="003D6B19" w14:paraId="12270C31" w14:textId="77777777" w:rsidTr="005D3F83">
        <w:trPr>
          <w:jc w:val="center"/>
        </w:trPr>
        <w:tc>
          <w:tcPr>
            <w:tcW w:w="1124" w:type="dxa"/>
          </w:tcPr>
          <w:p w14:paraId="255C90AC" w14:textId="77777777" w:rsidR="009E742D" w:rsidRPr="003D6B19" w:rsidRDefault="009E742D" w:rsidP="004F5FF9">
            <w:pPr>
              <w:jc w:val="center"/>
              <w:rPr>
                <w:sz w:val="16"/>
                <w:szCs w:val="16"/>
              </w:rPr>
            </w:pPr>
            <w:r w:rsidRPr="003D6B19">
              <w:rPr>
                <w:sz w:val="16"/>
                <w:szCs w:val="16"/>
              </w:rPr>
              <w:t>x</w:t>
            </w:r>
          </w:p>
        </w:tc>
        <w:tc>
          <w:tcPr>
            <w:tcW w:w="1358" w:type="dxa"/>
          </w:tcPr>
          <w:p w14:paraId="6B26EB87" w14:textId="77777777" w:rsidR="009E742D" w:rsidRPr="003D6B19" w:rsidRDefault="009E742D" w:rsidP="004F5FF9">
            <w:pPr>
              <w:jc w:val="center"/>
              <w:rPr>
                <w:sz w:val="16"/>
                <w:szCs w:val="16"/>
              </w:rPr>
            </w:pPr>
            <w:r w:rsidRPr="003D6B19">
              <w:rPr>
                <w:sz w:val="16"/>
                <w:szCs w:val="16"/>
              </w:rPr>
              <w:t>10</w:t>
            </w:r>
          </w:p>
        </w:tc>
        <w:tc>
          <w:tcPr>
            <w:tcW w:w="1350" w:type="dxa"/>
          </w:tcPr>
          <w:p w14:paraId="4F267A1A" w14:textId="77777777" w:rsidR="009E742D" w:rsidRPr="003D6B19" w:rsidRDefault="009E742D" w:rsidP="004F5FF9">
            <w:pPr>
              <w:ind w:right="280"/>
              <w:jc w:val="right"/>
              <w:rPr>
                <w:sz w:val="16"/>
                <w:szCs w:val="16"/>
              </w:rPr>
            </w:pPr>
            <w:r w:rsidRPr="003D6B19">
              <w:rPr>
                <w:sz w:val="16"/>
                <w:szCs w:val="16"/>
              </w:rPr>
              <w:t>8.6</w:t>
            </w:r>
          </w:p>
        </w:tc>
      </w:tr>
      <w:tr w:rsidR="009E742D" w:rsidRPr="003D6B19" w14:paraId="0D177527" w14:textId="77777777" w:rsidTr="005D3F83">
        <w:trPr>
          <w:jc w:val="center"/>
        </w:trPr>
        <w:tc>
          <w:tcPr>
            <w:tcW w:w="1124" w:type="dxa"/>
          </w:tcPr>
          <w:p w14:paraId="7F0B77FB" w14:textId="77777777" w:rsidR="009E742D" w:rsidRPr="003D6B19" w:rsidRDefault="009E742D" w:rsidP="004F5FF9">
            <w:pPr>
              <w:jc w:val="center"/>
              <w:rPr>
                <w:sz w:val="16"/>
                <w:szCs w:val="16"/>
              </w:rPr>
            </w:pPr>
            <w:r w:rsidRPr="003D6B19">
              <w:rPr>
                <w:sz w:val="16"/>
                <w:szCs w:val="16"/>
              </w:rPr>
              <w:t>y</w:t>
            </w:r>
          </w:p>
        </w:tc>
        <w:tc>
          <w:tcPr>
            <w:tcW w:w="1358" w:type="dxa"/>
          </w:tcPr>
          <w:p w14:paraId="7606E39F" w14:textId="77777777" w:rsidR="009E742D" w:rsidRPr="003D6B19" w:rsidRDefault="009E742D" w:rsidP="004F5FF9">
            <w:pPr>
              <w:jc w:val="center"/>
              <w:rPr>
                <w:sz w:val="16"/>
                <w:szCs w:val="16"/>
              </w:rPr>
            </w:pPr>
            <w:r w:rsidRPr="003D6B19">
              <w:rPr>
                <w:sz w:val="16"/>
                <w:szCs w:val="16"/>
              </w:rPr>
              <w:t>15</w:t>
            </w:r>
          </w:p>
        </w:tc>
        <w:tc>
          <w:tcPr>
            <w:tcW w:w="1350" w:type="dxa"/>
          </w:tcPr>
          <w:p w14:paraId="01574C51" w14:textId="77777777" w:rsidR="009E742D" w:rsidRPr="003D6B19" w:rsidRDefault="009E742D" w:rsidP="004F5FF9">
            <w:pPr>
              <w:ind w:right="280"/>
              <w:jc w:val="right"/>
              <w:rPr>
                <w:sz w:val="16"/>
                <w:szCs w:val="16"/>
              </w:rPr>
            </w:pPr>
            <w:r w:rsidRPr="003D6B19">
              <w:rPr>
                <w:sz w:val="16"/>
                <w:szCs w:val="16"/>
              </w:rPr>
              <w:t>12.4</w:t>
            </w:r>
          </w:p>
        </w:tc>
      </w:tr>
      <w:tr w:rsidR="009E742D" w:rsidRPr="003D6B19" w14:paraId="1E273983" w14:textId="77777777" w:rsidTr="005D3F83">
        <w:trPr>
          <w:jc w:val="center"/>
        </w:trPr>
        <w:tc>
          <w:tcPr>
            <w:tcW w:w="1124" w:type="dxa"/>
          </w:tcPr>
          <w:p w14:paraId="57F615B6" w14:textId="77777777" w:rsidR="009E742D" w:rsidRPr="003D6B19" w:rsidRDefault="009E742D" w:rsidP="004F5FF9">
            <w:pPr>
              <w:jc w:val="center"/>
              <w:rPr>
                <w:sz w:val="16"/>
                <w:szCs w:val="16"/>
              </w:rPr>
            </w:pPr>
            <w:r w:rsidRPr="003D6B19">
              <w:rPr>
                <w:sz w:val="16"/>
                <w:szCs w:val="16"/>
              </w:rPr>
              <w:t>z</w:t>
            </w:r>
          </w:p>
        </w:tc>
        <w:tc>
          <w:tcPr>
            <w:tcW w:w="1358" w:type="dxa"/>
          </w:tcPr>
          <w:p w14:paraId="16ABC378" w14:textId="77777777" w:rsidR="009E742D" w:rsidRPr="003D6B19" w:rsidRDefault="009E742D" w:rsidP="004F5FF9">
            <w:pPr>
              <w:jc w:val="center"/>
              <w:rPr>
                <w:sz w:val="16"/>
                <w:szCs w:val="16"/>
              </w:rPr>
            </w:pPr>
            <w:r w:rsidRPr="003D6B19">
              <w:rPr>
                <w:sz w:val="16"/>
                <w:szCs w:val="16"/>
              </w:rPr>
              <w:t>20</w:t>
            </w:r>
          </w:p>
        </w:tc>
        <w:tc>
          <w:tcPr>
            <w:tcW w:w="1350" w:type="dxa"/>
          </w:tcPr>
          <w:p w14:paraId="56769461" w14:textId="77777777" w:rsidR="009E742D" w:rsidRPr="003D6B19" w:rsidRDefault="009E742D" w:rsidP="004F5FF9">
            <w:pPr>
              <w:ind w:right="280"/>
              <w:jc w:val="right"/>
              <w:rPr>
                <w:sz w:val="16"/>
                <w:szCs w:val="16"/>
              </w:rPr>
            </w:pPr>
            <w:r w:rsidRPr="003D6B19">
              <w:rPr>
                <w:sz w:val="16"/>
                <w:szCs w:val="16"/>
              </w:rPr>
              <w:t>15.3</w:t>
            </w:r>
          </w:p>
        </w:tc>
      </w:tr>
    </w:tbl>
    <w:bookmarkEnd w:id="6"/>
    <w:bookmarkEnd w:id="8"/>
    <w:p w14:paraId="7D5D4C0D" w14:textId="5C8147F2" w:rsidR="00705B09" w:rsidRDefault="00705B09" w:rsidP="00705B09">
      <w:pPr>
        <w:tabs>
          <w:tab w:val="left" w:pos="426"/>
        </w:tabs>
        <w:jc w:val="center"/>
        <w:rPr>
          <w:b/>
          <w:bCs/>
          <w:lang w:val="id-ID"/>
        </w:rPr>
      </w:pPr>
      <w:r>
        <w:rPr>
          <w:noProof/>
        </w:rPr>
        <w:lastRenderedPageBreak/>
        <w:drawing>
          <wp:inline distT="0" distB="0" distL="0" distR="0" wp14:anchorId="38D2DEC5" wp14:editId="13B867A6">
            <wp:extent cx="3276600" cy="1319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03747" cy="1330366"/>
                    </a:xfrm>
                    <a:prstGeom prst="rect">
                      <a:avLst/>
                    </a:prstGeom>
                    <a:noFill/>
                    <a:ln>
                      <a:noFill/>
                    </a:ln>
                  </pic:spPr>
                </pic:pic>
              </a:graphicData>
            </a:graphic>
          </wp:inline>
        </w:drawing>
      </w:r>
    </w:p>
    <w:p w14:paraId="66B1EE12" w14:textId="4837A9A6" w:rsidR="00705B09" w:rsidRPr="00705B09" w:rsidRDefault="00705B09" w:rsidP="00705B09">
      <w:pPr>
        <w:tabs>
          <w:tab w:val="left" w:pos="426"/>
        </w:tabs>
        <w:jc w:val="center"/>
      </w:pPr>
      <w:r w:rsidRPr="00705B09">
        <w:t>(a)</w:t>
      </w:r>
    </w:p>
    <w:p w14:paraId="1A742358" w14:textId="747C98DE" w:rsidR="00705B09" w:rsidRDefault="00705B09" w:rsidP="00705B09">
      <w:pPr>
        <w:tabs>
          <w:tab w:val="left" w:pos="426"/>
        </w:tabs>
        <w:jc w:val="center"/>
        <w:rPr>
          <w:b/>
          <w:bCs/>
        </w:rPr>
      </w:pPr>
    </w:p>
    <w:p w14:paraId="6B017BCD" w14:textId="7677E45D" w:rsidR="00705B09" w:rsidRDefault="00705B09" w:rsidP="00705B09">
      <w:pPr>
        <w:tabs>
          <w:tab w:val="left" w:pos="426"/>
        </w:tabs>
        <w:jc w:val="center"/>
        <w:rPr>
          <w:b/>
          <w:bCs/>
        </w:rPr>
      </w:pPr>
      <w:r>
        <w:rPr>
          <w:noProof/>
        </w:rPr>
        <w:drawing>
          <wp:inline distT="0" distB="0" distL="0" distR="0" wp14:anchorId="7F84F54B" wp14:editId="52A49131">
            <wp:extent cx="2952750" cy="1178727"/>
            <wp:effectExtent l="0" t="0" r="0" b="254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61867" cy="1182367"/>
                    </a:xfrm>
                    <a:prstGeom prst="rect">
                      <a:avLst/>
                    </a:prstGeom>
                    <a:noFill/>
                    <a:ln>
                      <a:noFill/>
                    </a:ln>
                  </pic:spPr>
                </pic:pic>
              </a:graphicData>
            </a:graphic>
          </wp:inline>
        </w:drawing>
      </w:r>
    </w:p>
    <w:p w14:paraId="7080B380" w14:textId="167DBC24" w:rsidR="00705B09" w:rsidRDefault="00705B09" w:rsidP="00705B09">
      <w:pPr>
        <w:tabs>
          <w:tab w:val="left" w:pos="426"/>
        </w:tabs>
        <w:jc w:val="center"/>
      </w:pPr>
      <w:r w:rsidRPr="00705B09">
        <w:t>(b)</w:t>
      </w:r>
    </w:p>
    <w:p w14:paraId="70A77017" w14:textId="62841957" w:rsidR="00705B09" w:rsidRDefault="00705B09" w:rsidP="00705B09">
      <w:pPr>
        <w:tabs>
          <w:tab w:val="left" w:pos="426"/>
        </w:tabs>
        <w:jc w:val="center"/>
      </w:pPr>
    </w:p>
    <w:p w14:paraId="00CD0988" w14:textId="4E9D601D" w:rsidR="00705B09" w:rsidRPr="00705B09" w:rsidRDefault="00705B09" w:rsidP="00705B09">
      <w:pPr>
        <w:tabs>
          <w:tab w:val="left" w:pos="426"/>
        </w:tabs>
        <w:jc w:val="center"/>
      </w:pPr>
      <w:r w:rsidRPr="002A276C">
        <w:rPr>
          <w:lang w:val="id-ID"/>
        </w:rPr>
        <w:t>Figure 2.</w:t>
      </w:r>
      <w:r w:rsidRPr="009128F9">
        <w:t xml:space="preserve"> </w:t>
      </w:r>
      <w:r w:rsidR="004065AD" w:rsidRPr="00F27B3E">
        <w:t>Contrasting</w:t>
      </w:r>
      <w:r w:rsidR="00F27B3E" w:rsidRPr="00F27B3E">
        <w:t xml:space="preserve"> the performance of a wind turbine simulated in the power control mode to one simulated in the rotor speed control mode </w:t>
      </w:r>
      <w:r>
        <w:t>in</w:t>
      </w:r>
      <w:r w:rsidRPr="009128F9">
        <w:t xml:space="preserve"> (a) </w:t>
      </w:r>
      <w:bookmarkStart w:id="9" w:name="_Hlk83028848"/>
      <w:r w:rsidRPr="009128F9">
        <w:t>energy output</w:t>
      </w:r>
      <w:bookmarkEnd w:id="9"/>
      <w:r>
        <w:t xml:space="preserve"> and </w:t>
      </w:r>
      <w:r w:rsidRPr="009128F9">
        <w:t>(b) smoothing function</w:t>
      </w:r>
    </w:p>
    <w:p w14:paraId="14C18176" w14:textId="77777777" w:rsidR="00705B09" w:rsidRPr="003D6B19" w:rsidRDefault="00705B09" w:rsidP="00705B09">
      <w:pPr>
        <w:tabs>
          <w:tab w:val="left" w:pos="426"/>
        </w:tabs>
        <w:jc w:val="center"/>
        <w:rPr>
          <w:b/>
          <w:bCs/>
          <w:lang w:val="id-ID"/>
        </w:rPr>
      </w:pPr>
    </w:p>
    <w:p w14:paraId="345D055F" w14:textId="77777777" w:rsidR="00354A58" w:rsidRPr="003D6B19" w:rsidRDefault="00354A58" w:rsidP="00354A58">
      <w:pPr>
        <w:jc w:val="center"/>
        <w:rPr>
          <w:lang w:val="id-ID"/>
        </w:rPr>
      </w:pPr>
    </w:p>
    <w:bookmarkEnd w:id="7"/>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6BC6C798" w14:textId="20639CED" w:rsidR="00E619D6" w:rsidRPr="003D6B19" w:rsidRDefault="00FF3DD5" w:rsidP="00E619D6">
      <w:pPr>
        <w:ind w:firstLine="720"/>
        <w:jc w:val="both"/>
        <w:rPr>
          <w:lang w:val="id-ID"/>
        </w:rPr>
      </w:pPr>
      <w:r w:rsidRPr="00FF3DD5">
        <w:rPr>
          <w:lang w:val="id-ID"/>
        </w:rPr>
        <w:t>This part presents an extensive discussion while also outlining the study findings. Results may be shown using tables, graphs, figures, and other simple-to-understand formats [14], [15]. Multiple subsections are possible for the debate.</w:t>
      </w: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473C0DBC" w14:textId="720F8544" w:rsidR="00E619D6" w:rsidRDefault="00FF3DD5" w:rsidP="00E619D6">
      <w:pPr>
        <w:rPr>
          <w:lang w:val="id-ID"/>
        </w:rPr>
      </w:pPr>
      <w:bookmarkStart w:id="10" w:name="_Hlk79140867"/>
      <w:bookmarkStart w:id="11" w:name="_Hlk79141485"/>
      <w:r w:rsidRPr="00FF3DD5">
        <w:rPr>
          <w:lang w:val="id-ID"/>
        </w:rPr>
        <w:t>As in (1), equations should be written in the middle of the line, one after the other, with the equation numbers in parentheses flushed to the right border. It is recommended to use MathType or Microsoft Equation Editor.</w:t>
      </w:r>
    </w:p>
    <w:p w14:paraId="58788068" w14:textId="77777777" w:rsidR="00FF3DD5" w:rsidRPr="003D6B19" w:rsidRDefault="00FF3DD5" w:rsidP="00E619D6">
      <w:pPr>
        <w:rPr>
          <w:bCs/>
          <w:lang w:val="id-ID"/>
        </w:rPr>
      </w:pPr>
    </w:p>
    <w:p w14:paraId="6A8C919A" w14:textId="0F6A48CC" w:rsidR="004F4003" w:rsidRPr="004F4003" w:rsidRDefault="00CE58B3"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10"/>
    <w:bookmarkEnd w:id="11"/>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740F6FB0" w14:textId="0BA716FC" w:rsidR="00E619D6" w:rsidRDefault="005775FF" w:rsidP="00E619D6">
      <w:pPr>
        <w:ind w:firstLine="720"/>
        <w:jc w:val="both"/>
        <w:rPr>
          <w:bCs/>
          <w:lang w:val="id-ID"/>
        </w:rPr>
      </w:pPr>
      <w:r w:rsidRPr="005775FF">
        <w:rPr>
          <w:bCs/>
          <w:lang w:val="id-ID"/>
        </w:rPr>
        <w:t>Plagiarism should be avoided by properly citing other works. Please utilize the reference number when referencing a reference item, such as [16] or [17] for multiple references. Any reference citation that comes at the start of a sentence should start with "Ref [18]..." Only the first author should be provided for any reference that has more than three authors, followed by et al. (For example, in [19]). In the References section, examples of reference materials from various categories are shown. Use an 8-pt font size [20]–[25] to type each item in the references section.</w:t>
      </w:r>
    </w:p>
    <w:p w14:paraId="242983C9" w14:textId="77777777" w:rsidR="005775FF" w:rsidRPr="003D6B19" w:rsidRDefault="005775FF" w:rsidP="00E619D6">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proofErr w:type="gramStart"/>
      <w:r w:rsidRPr="003D6B19">
        <w:t>zz</w:t>
      </w:r>
      <w:proofErr w:type="spellEnd"/>
      <w:proofErr w:type="gram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1B43F60" w:rsidR="00E619D6" w:rsidRPr="003D6B19" w:rsidRDefault="005D3F83" w:rsidP="00354A58">
      <w:pPr>
        <w:ind w:firstLine="709"/>
        <w:jc w:val="both"/>
        <w:rPr>
          <w:lang w:val="id-ID"/>
        </w:rPr>
      </w:pPr>
      <w:r w:rsidRPr="005D3F83">
        <w:rPr>
          <w:lang w:val="id-ID"/>
        </w:rPr>
        <w:t>Specify that the "RESULTS AND DISCUSSION" part may provide the outcomes that were anticipated, as mentioned in the "introduction" section, demonstrating compatibility. Additionally, it is possible to include the possibility of the advancement of study findings as well as the potential applications of future studies (based on findings and discussion).</w:t>
      </w: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2" w:name="_Hlk78354940"/>
      <w:r w:rsidRPr="00735BBC">
        <w:t>Author</w:t>
      </w:r>
      <w:r w:rsidRPr="00E94443">
        <w:t xml:space="preserve"> </w:t>
      </w:r>
      <w:proofErr w:type="gramStart"/>
      <w:r w:rsidRPr="00E94443">
        <w:t>thanks ...</w:t>
      </w:r>
      <w:proofErr w:type="gramEnd"/>
      <w:r w:rsidRPr="00E94443">
        <w:t xml:space="preserve"> </w:t>
      </w:r>
      <w:r>
        <w:t>.</w:t>
      </w:r>
      <w:r w:rsidRPr="00E94443">
        <w:t xml:space="preserve"> In most cases, sponsor and financial support acknowledgments</w:t>
      </w:r>
      <w:r>
        <w:t>.</w:t>
      </w:r>
    </w:p>
    <w:bookmarkEnd w:id="12"/>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34F6BFAF" w14:textId="4D0A6E46" w:rsidR="00354A58" w:rsidRPr="00223324" w:rsidRDefault="00354A58" w:rsidP="00354A58">
      <w:pPr>
        <w:ind w:firstLine="720"/>
        <w:jc w:val="both"/>
        <w:rPr>
          <w:sz w:val="16"/>
          <w:szCs w:val="16"/>
        </w:rPr>
      </w:pPr>
      <w:bookmarkStart w:id="13" w:name="_Hlk78354957"/>
      <w:bookmarkStart w:id="14" w:name="_Hlk80021798"/>
      <w:r w:rsidRPr="00223324">
        <w:rPr>
          <w:color w:val="000000"/>
          <w:sz w:val="16"/>
          <w:szCs w:val="16"/>
        </w:rPr>
        <w:t xml:space="preserve">The main references are </w:t>
      </w:r>
      <w:r w:rsidRPr="00223324">
        <w:rPr>
          <w:sz w:val="16"/>
          <w:szCs w:val="16"/>
        </w:rPr>
        <w:t>international</w:t>
      </w:r>
      <w:r w:rsidRPr="00223324">
        <w:rPr>
          <w:color w:val="000000"/>
          <w:sz w:val="16"/>
          <w:szCs w:val="16"/>
        </w:rPr>
        <w:t xml:space="preserve"> journals and proceedings. All references should be to the most pertinent, up-to-date sources </w:t>
      </w:r>
      <w:r w:rsidRPr="00223324">
        <w:rPr>
          <w:b/>
          <w:bCs/>
          <w:color w:val="000000"/>
          <w:sz w:val="16"/>
          <w:szCs w:val="16"/>
        </w:rPr>
        <w:t xml:space="preserve">and the </w:t>
      </w:r>
      <w:r w:rsidRPr="00223324">
        <w:rPr>
          <w:b/>
          <w:bCs/>
          <w:sz w:val="16"/>
          <w:szCs w:val="16"/>
        </w:rPr>
        <w:t xml:space="preserve">minimum of references </w:t>
      </w:r>
      <w:r w:rsidRPr="00223324">
        <w:rPr>
          <w:sz w:val="16"/>
          <w:szCs w:val="16"/>
        </w:rPr>
        <w:t xml:space="preserve">are </w:t>
      </w:r>
      <w:r w:rsidRPr="00223324">
        <w:rPr>
          <w:b/>
          <w:bCs/>
          <w:sz w:val="16"/>
          <w:szCs w:val="16"/>
        </w:rPr>
        <w:t xml:space="preserve">25 entries </w:t>
      </w:r>
      <w:r w:rsidRPr="00223324">
        <w:rPr>
          <w:sz w:val="16"/>
          <w:szCs w:val="16"/>
        </w:rPr>
        <w:t>(for original research paper)</w:t>
      </w:r>
      <w:r w:rsidRPr="00223324">
        <w:rPr>
          <w:b/>
          <w:bCs/>
          <w:sz w:val="16"/>
          <w:szCs w:val="16"/>
        </w:rPr>
        <w:t xml:space="preserve"> </w:t>
      </w:r>
      <w:r w:rsidRPr="00223324">
        <w:rPr>
          <w:sz w:val="16"/>
          <w:szCs w:val="16"/>
        </w:rPr>
        <w:t xml:space="preserve">and </w:t>
      </w:r>
      <w:r w:rsidR="004610EC">
        <w:rPr>
          <w:b/>
          <w:bCs/>
          <w:sz w:val="16"/>
          <w:szCs w:val="16"/>
        </w:rPr>
        <w:t>75</w:t>
      </w:r>
      <w:r w:rsidRPr="00223324">
        <w:rPr>
          <w:b/>
          <w:bCs/>
          <w:sz w:val="16"/>
          <w:szCs w:val="16"/>
        </w:rPr>
        <w:t xml:space="preserve"> entries </w:t>
      </w:r>
      <w:r w:rsidRPr="00223324">
        <w:rPr>
          <w:sz w:val="16"/>
          <w:szCs w:val="16"/>
        </w:rPr>
        <w:t>(for review</w:t>
      </w:r>
      <w:r w:rsidR="00F902B7" w:rsidRPr="00223324">
        <w:rPr>
          <w:sz w:val="16"/>
          <w:szCs w:val="16"/>
        </w:rPr>
        <w:t>/survey</w:t>
      </w:r>
      <w:r w:rsidRPr="00223324">
        <w:rPr>
          <w:sz w:val="16"/>
          <w:szCs w:val="16"/>
        </w:rPr>
        <w:t xml:space="preserve"> paper). References are written in </w:t>
      </w:r>
      <w:r w:rsidRPr="00223324">
        <w:rPr>
          <w:b/>
          <w:bCs/>
          <w:sz w:val="16"/>
          <w:szCs w:val="16"/>
        </w:rPr>
        <w:t>IEEE style</w:t>
      </w:r>
      <w:r w:rsidR="001B26CF">
        <w:rPr>
          <w:b/>
          <w:bCs/>
          <w:sz w:val="16"/>
          <w:szCs w:val="16"/>
        </w:rPr>
        <w:t xml:space="preserve">. </w:t>
      </w:r>
      <w:r w:rsidRPr="00223324">
        <w:rPr>
          <w:sz w:val="16"/>
          <w:szCs w:val="16"/>
        </w:rPr>
        <w:t xml:space="preserve">Use of a tool such as </w:t>
      </w:r>
      <w:r w:rsidRPr="00223324">
        <w:rPr>
          <w:b/>
          <w:bCs/>
          <w:sz w:val="16"/>
          <w:szCs w:val="16"/>
        </w:rPr>
        <w:t>EndNote</w:t>
      </w:r>
      <w:r w:rsidRPr="00223324">
        <w:rPr>
          <w:sz w:val="16"/>
          <w:szCs w:val="16"/>
        </w:rPr>
        <w:t xml:space="preserve">, </w:t>
      </w:r>
      <w:proofErr w:type="spellStart"/>
      <w:r w:rsidRPr="00223324">
        <w:rPr>
          <w:b/>
          <w:bCs/>
          <w:sz w:val="16"/>
          <w:szCs w:val="16"/>
        </w:rPr>
        <w:t>Mendeley</w:t>
      </w:r>
      <w:proofErr w:type="spellEnd"/>
      <w:r w:rsidRPr="00223324">
        <w:rPr>
          <w:sz w:val="16"/>
          <w:szCs w:val="16"/>
        </w:rPr>
        <w:t xml:space="preserve">, or </w:t>
      </w:r>
      <w:proofErr w:type="spellStart"/>
      <w:r w:rsidRPr="00223324">
        <w:rPr>
          <w:b/>
          <w:bCs/>
          <w:sz w:val="16"/>
          <w:szCs w:val="16"/>
        </w:rPr>
        <w:t>Zotero</w:t>
      </w:r>
      <w:proofErr w:type="spellEnd"/>
      <w:r w:rsidRPr="00223324">
        <w:rPr>
          <w:sz w:val="16"/>
          <w:szCs w:val="16"/>
        </w:rPr>
        <w:t xml:space="preserve"> for reference management and formatting, and choose </w:t>
      </w:r>
      <w:r w:rsidRPr="00223324">
        <w:rPr>
          <w:b/>
          <w:bCs/>
          <w:sz w:val="16"/>
          <w:szCs w:val="16"/>
        </w:rPr>
        <w:t>IEEE style</w:t>
      </w:r>
      <w:r w:rsidRPr="00223324">
        <w:rPr>
          <w:sz w:val="16"/>
          <w:szCs w:val="16"/>
        </w:rPr>
        <w:t xml:space="preserve">. </w:t>
      </w:r>
      <w:r w:rsidRPr="00223324">
        <w:rPr>
          <w:iCs/>
          <w:sz w:val="16"/>
          <w:szCs w:val="16"/>
        </w:rPr>
        <w:t>Please use</w:t>
      </w:r>
      <w:r w:rsidRPr="00223324">
        <w:rPr>
          <w:sz w:val="16"/>
          <w:szCs w:val="16"/>
        </w:rPr>
        <w:t xml:space="preserve"> a consistent format for </w:t>
      </w:r>
      <w:r w:rsidRPr="00223324">
        <w:rPr>
          <w:iCs/>
          <w:sz w:val="16"/>
          <w:szCs w:val="16"/>
        </w:rPr>
        <w:t>references-</w:t>
      </w:r>
      <w:r w:rsidRPr="00223324">
        <w:rPr>
          <w:sz w:val="16"/>
          <w:szCs w:val="16"/>
        </w:rPr>
        <w:t>see examples (</w:t>
      </w:r>
      <w:r w:rsidR="00F902B7" w:rsidRPr="00223324">
        <w:rPr>
          <w:sz w:val="16"/>
          <w:szCs w:val="16"/>
        </w:rPr>
        <w:t>8</w:t>
      </w:r>
      <w:r w:rsidRPr="00223324">
        <w:rPr>
          <w:sz w:val="16"/>
          <w:szCs w:val="16"/>
        </w:rPr>
        <w:t xml:space="preserve"> </w:t>
      </w:r>
      <w:proofErr w:type="spellStart"/>
      <w:r w:rsidRPr="00223324">
        <w:rPr>
          <w:sz w:val="16"/>
          <w:szCs w:val="16"/>
        </w:rPr>
        <w:t>pt</w:t>
      </w:r>
      <w:proofErr w:type="spellEnd"/>
      <w:r w:rsidRPr="00223324">
        <w:rPr>
          <w:sz w:val="16"/>
          <w:szCs w:val="16"/>
        </w:rPr>
        <w:t>):</w:t>
      </w:r>
    </w:p>
    <w:p w14:paraId="606E7311" w14:textId="77777777" w:rsidR="00E619D6" w:rsidRPr="002215FE" w:rsidRDefault="00E619D6" w:rsidP="00E619D6">
      <w:pPr>
        <w:jc w:val="both"/>
        <w:rPr>
          <w:color w:val="000000"/>
        </w:rPr>
      </w:pPr>
      <w:bookmarkStart w:id="15" w:name="_Hlk80002086"/>
      <w:bookmarkEnd w:id="13"/>
    </w:p>
    <w:p w14:paraId="084142AC"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bookmarkStart w:id="16" w:name="_Hlk65223902"/>
      <w:bookmarkStart w:id="17" w:name="_Hlk80001145"/>
      <w:r w:rsidRPr="003D6B19">
        <w:rPr>
          <w:rFonts w:ascii="Times New Roman" w:hAnsi="Times New Roman"/>
          <w:b/>
          <w:bCs/>
          <w:sz w:val="18"/>
          <w:szCs w:val="18"/>
        </w:rPr>
        <w:t>Journal/Periodicals</w:t>
      </w:r>
    </w:p>
    <w:p w14:paraId="4AA77EC0"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16B6636B" w14:textId="77777777" w:rsidR="00E619D6" w:rsidRPr="00213B7B" w:rsidRDefault="00E619D6" w:rsidP="00E619D6">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6E10C746" w14:textId="77777777" w:rsidR="00E619D6" w:rsidRPr="00213B7B" w:rsidRDefault="00E619D6" w:rsidP="00E619D6">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6"/>
    <w:p w14:paraId="14B9CC9B"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36EB19AC"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w:t>
      </w:r>
      <w:proofErr w:type="gramStart"/>
      <w:r w:rsidRPr="00F902B7">
        <w:rPr>
          <w:rFonts w:cs="Times New Roman"/>
          <w:sz w:val="16"/>
          <w:szCs w:val="16"/>
        </w:rPr>
        <w:t>no</w:t>
      </w:r>
      <w:proofErr w:type="gramEnd"/>
      <w:r w:rsidRPr="00F902B7">
        <w:rPr>
          <w:rFonts w:cs="Times New Roman"/>
          <w:sz w:val="16"/>
          <w:szCs w:val="16"/>
        </w:rPr>
        <w:t xml:space="preserve">.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4046DF96"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79FC64E4"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62B77224" w14:textId="77777777" w:rsidR="00E619D6" w:rsidRPr="00213B7B" w:rsidRDefault="00E619D6" w:rsidP="00E619D6">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32A2BDE6" w14:textId="77777777" w:rsidR="00E619D6" w:rsidRPr="00213B7B" w:rsidRDefault="00E619D6" w:rsidP="00E619D6">
      <w:pPr>
        <w:pStyle w:val="Default"/>
        <w:jc w:val="both"/>
        <w:rPr>
          <w:rFonts w:cs="Times New Roman"/>
          <w:i/>
          <w:iCs/>
          <w:sz w:val="16"/>
          <w:szCs w:val="16"/>
        </w:rPr>
      </w:pPr>
      <w:r w:rsidRPr="00213B7B">
        <w:rPr>
          <w:rFonts w:cs="Times New Roman"/>
          <w:i/>
          <w:iCs/>
          <w:sz w:val="16"/>
          <w:szCs w:val="16"/>
        </w:rPr>
        <w:t xml:space="preserve">Examples: </w:t>
      </w:r>
    </w:p>
    <w:p w14:paraId="285BECD5"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9997DC5"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407AD8F7" w14:textId="77777777" w:rsidR="00E619D6" w:rsidRPr="002215FE" w:rsidRDefault="00E619D6" w:rsidP="00E619D6">
      <w:pPr>
        <w:jc w:val="both"/>
        <w:rPr>
          <w:b/>
          <w:bCs/>
        </w:rPr>
      </w:pPr>
    </w:p>
    <w:p w14:paraId="43E252DF"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5C92185D" w14:textId="77777777" w:rsidR="00E619D6" w:rsidRPr="00213B7B" w:rsidRDefault="00E619D6" w:rsidP="00E619D6">
      <w:pPr>
        <w:pStyle w:val="Default"/>
        <w:jc w:val="both"/>
        <w:rPr>
          <w:rFonts w:cs="Times New Roman"/>
          <w:i/>
          <w:iCs/>
          <w:sz w:val="16"/>
          <w:szCs w:val="16"/>
        </w:rPr>
      </w:pPr>
      <w:r w:rsidRPr="00213B7B">
        <w:rPr>
          <w:rFonts w:cs="Times New Roman"/>
          <w:i/>
          <w:iCs/>
          <w:sz w:val="16"/>
          <w:szCs w:val="16"/>
        </w:rPr>
        <w:t xml:space="preserve">Basic Format: </w:t>
      </w:r>
    </w:p>
    <w:p w14:paraId="6BBDA271" w14:textId="77777777" w:rsidR="00E619D6" w:rsidRPr="00213B7B" w:rsidRDefault="00E619D6" w:rsidP="00E619D6">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w:t>
      </w:r>
      <w:proofErr w:type="gramStart"/>
      <w:r w:rsidRPr="00213B7B">
        <w:rPr>
          <w:color w:val="000000"/>
          <w:sz w:val="16"/>
          <w:szCs w:val="16"/>
        </w:rPr>
        <w:t>of</w:t>
      </w:r>
      <w:proofErr w:type="gramEnd"/>
      <w:r w:rsidRPr="00213B7B">
        <w:rPr>
          <w:color w:val="000000"/>
          <w:sz w:val="16"/>
          <w:szCs w:val="16"/>
        </w:rPr>
        <w:t xml:space="preserve">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650DB026" w14:textId="77777777" w:rsidR="00E619D6" w:rsidRPr="00213B7B" w:rsidRDefault="00E619D6" w:rsidP="00E619D6">
      <w:pPr>
        <w:jc w:val="both"/>
        <w:rPr>
          <w:i/>
          <w:iCs/>
          <w:sz w:val="16"/>
          <w:szCs w:val="16"/>
        </w:rPr>
      </w:pPr>
      <w:r w:rsidRPr="00213B7B">
        <w:rPr>
          <w:i/>
          <w:iCs/>
          <w:sz w:val="16"/>
          <w:szCs w:val="16"/>
        </w:rPr>
        <w:t>Examples:</w:t>
      </w:r>
    </w:p>
    <w:p w14:paraId="592B9F9C"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w:t>
      </w:r>
      <w:proofErr w:type="spellStart"/>
      <w:r w:rsidRPr="00F902B7">
        <w:rPr>
          <w:rFonts w:cs="Times New Roman"/>
          <w:sz w:val="16"/>
          <w:szCs w:val="16"/>
        </w:rPr>
        <w:t>Artech</w:t>
      </w:r>
      <w:proofErr w:type="spellEnd"/>
      <w:r w:rsidRPr="00F902B7">
        <w:rPr>
          <w:rFonts w:cs="Times New Roman"/>
          <w:sz w:val="16"/>
          <w:szCs w:val="16"/>
        </w:rPr>
        <w:t xml:space="preserve"> House, 1996. </w:t>
      </w:r>
    </w:p>
    <w:p w14:paraId="7996FC89"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3062FDF2" w14:textId="77777777" w:rsidR="00E619D6" w:rsidRPr="002215FE" w:rsidRDefault="00E619D6" w:rsidP="00E619D6">
      <w:pPr>
        <w:jc w:val="both"/>
        <w:rPr>
          <w:color w:val="000000"/>
        </w:rPr>
      </w:pPr>
    </w:p>
    <w:p w14:paraId="60B4EF39"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184A5465"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769475BD" w14:textId="77777777" w:rsidR="00E619D6" w:rsidRPr="00213B7B" w:rsidRDefault="00E619D6" w:rsidP="00E619D6">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3875C5B4" w14:textId="77777777" w:rsidR="00E619D6" w:rsidRPr="00213B7B" w:rsidRDefault="00E619D6" w:rsidP="00E619D6">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192E4F8D"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Examples: </w:t>
      </w:r>
    </w:p>
    <w:p w14:paraId="20AEA0CD"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665BA45F"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w:t>
      </w:r>
      <w:proofErr w:type="spellStart"/>
      <w:r w:rsidRPr="00F902B7">
        <w:rPr>
          <w:rFonts w:cs="Times New Roman"/>
          <w:sz w:val="16"/>
          <w:szCs w:val="16"/>
        </w:rPr>
        <w:t>nonequilibrium</w:t>
      </w:r>
      <w:proofErr w:type="spellEnd"/>
      <w:r w:rsidRPr="00F902B7">
        <w:rPr>
          <w:rFonts w:cs="Times New Roman"/>
          <w:sz w:val="16"/>
          <w:szCs w:val="16"/>
        </w:rPr>
        <w:t xml:space="preserve"> nozzle flow,” M.S. thesis, Dept. Electron. Eng., Osaka Univ., Osaka, Japan, 1993. </w:t>
      </w:r>
    </w:p>
    <w:p w14:paraId="64BDD0C9" w14:textId="77777777" w:rsidR="00E619D6" w:rsidRPr="002215FE" w:rsidRDefault="00E619D6" w:rsidP="00E619D6">
      <w:pPr>
        <w:pStyle w:val="Default"/>
        <w:rPr>
          <w:rFonts w:cs="Times New Roman"/>
          <w:sz w:val="20"/>
          <w:szCs w:val="20"/>
        </w:rPr>
      </w:pPr>
    </w:p>
    <w:p w14:paraId="60FFAE05" w14:textId="77777777" w:rsidR="00E619D6" w:rsidRPr="00213B7B" w:rsidRDefault="00E619D6" w:rsidP="00E619D6">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xml:space="preserve">, Computer Telephony Integration, </w:t>
      </w:r>
      <w:proofErr w:type="gramStart"/>
      <w:r w:rsidRPr="00213B7B">
        <w:rPr>
          <w:color w:val="000000"/>
          <w:sz w:val="16"/>
          <w:szCs w:val="16"/>
        </w:rPr>
        <w:t>New</w:t>
      </w:r>
      <w:proofErr w:type="gramEnd"/>
      <w:r w:rsidRPr="00213B7B">
        <w:rPr>
          <w:color w:val="000000"/>
          <w:sz w:val="16"/>
          <w:szCs w:val="16"/>
        </w:rPr>
        <w:t xml:space="preserve"> York: Wiley, 2010.</w:t>
      </w:r>
    </w:p>
    <w:bookmarkEnd w:id="14"/>
    <w:bookmarkEnd w:id="15"/>
    <w:bookmarkEnd w:id="17"/>
    <w:p w14:paraId="4BC3F173" w14:textId="626BCFD6" w:rsidR="00E619D6" w:rsidRDefault="00E619D6" w:rsidP="00E619D6">
      <w:pPr>
        <w:jc w:val="both"/>
        <w:rPr>
          <w:color w:val="000000"/>
        </w:rPr>
      </w:pPr>
    </w:p>
    <w:p w14:paraId="37129761" w14:textId="7A93E79D" w:rsidR="00E619D6" w:rsidRPr="00213B7B" w:rsidRDefault="00E619D6" w:rsidP="00E619D6">
      <w:pPr>
        <w:jc w:val="both"/>
        <w:rPr>
          <w:i/>
          <w:iCs/>
          <w:color w:val="000000"/>
          <w:sz w:val="16"/>
          <w:szCs w:val="16"/>
        </w:rPr>
      </w:pPr>
      <w:r w:rsidRPr="00213B7B">
        <w:rPr>
          <w:i/>
          <w:iCs/>
          <w:color w:val="000000"/>
          <w:sz w:val="16"/>
          <w:szCs w:val="16"/>
        </w:rPr>
        <w:t>See the examples:</w:t>
      </w:r>
    </w:p>
    <w:p w14:paraId="2969FE6E" w14:textId="77777777" w:rsidR="00354A58" w:rsidRPr="003D6B19" w:rsidRDefault="00354A58" w:rsidP="00354A58">
      <w:pPr>
        <w:jc w:val="both"/>
        <w:rPr>
          <w:i/>
          <w:iCs/>
          <w:color w:val="000000"/>
          <w:sz w:val="18"/>
          <w:szCs w:val="18"/>
        </w:rPr>
      </w:pPr>
      <w:bookmarkStart w:id="18" w:name="_Hlk78354977"/>
      <w:r w:rsidRPr="00851B56">
        <w:rPr>
          <w:rStyle w:val="apple-style-span"/>
          <w:b/>
          <w:color w:val="000000"/>
          <w:lang w:val="pt-BR"/>
        </w:rPr>
        <w:t>REFERENCES</w:t>
      </w:r>
    </w:p>
    <w:bookmarkEnd w:id="18"/>
    <w:p w14:paraId="5F462C78" w14:textId="77777777" w:rsidR="00E619D6" w:rsidRPr="00FA7BF0" w:rsidRDefault="00E619D6" w:rsidP="00E619D6">
      <w:pPr>
        <w:widowControl w:val="0"/>
        <w:autoSpaceDE w:val="0"/>
        <w:autoSpaceDN w:val="0"/>
        <w:adjustRightInd w:val="0"/>
        <w:ind w:left="426" w:hanging="426"/>
        <w:jc w:val="both"/>
        <w:rPr>
          <w:noProof/>
          <w:sz w:val="14"/>
          <w:szCs w:val="14"/>
        </w:rPr>
      </w:pPr>
      <w:r w:rsidRPr="003D6B19">
        <w:rPr>
          <w:color w:val="000000"/>
          <w:sz w:val="18"/>
          <w:szCs w:val="18"/>
        </w:rPr>
        <w:fldChar w:fldCharType="begin" w:fldLock="1"/>
      </w:r>
      <w:r w:rsidRPr="003D6B19">
        <w:rPr>
          <w:color w:val="000000"/>
          <w:sz w:val="18"/>
          <w:szCs w:val="18"/>
        </w:rPr>
        <w:instrText xml:space="preserve">ADDIN Mendeley Bibliography CSL_BIBLIOGRAPHY </w:instrText>
      </w:r>
      <w:r w:rsidRPr="003D6B19">
        <w:rPr>
          <w:color w:val="000000"/>
          <w:sz w:val="18"/>
          <w:szCs w:val="18"/>
        </w:rPr>
        <w:fldChar w:fldCharType="separate"/>
      </w:r>
      <w:r w:rsidRPr="00FA7BF0">
        <w:rPr>
          <w:noProof/>
          <w:sz w:val="16"/>
          <w:szCs w:val="22"/>
        </w:rPr>
        <w:t>[1]</w:t>
      </w:r>
      <w:r w:rsidRPr="00FA7BF0">
        <w:rPr>
          <w:noProof/>
          <w:sz w:val="16"/>
          <w:szCs w:val="22"/>
        </w:rPr>
        <w:tab/>
        <w:t xml:space="preserve">M. Sigala, A. Beer, L. Hodgson, and A. O’Connor, </w:t>
      </w:r>
      <w:r w:rsidRPr="00FA7BF0">
        <w:rPr>
          <w:i/>
          <w:iCs/>
          <w:noProof/>
          <w:sz w:val="16"/>
          <w:szCs w:val="22"/>
        </w:rPr>
        <w:t xml:space="preserve">Big Data for Measuring the Impact of Tourism Economic </w:t>
      </w:r>
      <w:r w:rsidRPr="00FA7BF0">
        <w:rPr>
          <w:i/>
          <w:iCs/>
          <w:noProof/>
          <w:sz w:val="14"/>
          <w:szCs w:val="14"/>
        </w:rPr>
        <w:t>Development Programmes: A Process and Quality Criteria Framework for Using Big Data</w:t>
      </w:r>
      <w:r w:rsidRPr="00FA7BF0">
        <w:rPr>
          <w:noProof/>
          <w:sz w:val="14"/>
          <w:szCs w:val="14"/>
        </w:rPr>
        <w:t>. 2019.</w:t>
      </w:r>
    </w:p>
    <w:p w14:paraId="2224D55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w:t>
      </w:r>
      <w:r w:rsidRPr="00F902B7">
        <w:rPr>
          <w:noProof/>
          <w:sz w:val="16"/>
          <w:szCs w:val="16"/>
        </w:rPr>
        <w:tab/>
        <w:t xml:space="preserve">G. Nguyen </w:t>
      </w:r>
      <w:r w:rsidRPr="00F902B7">
        <w:rPr>
          <w:i/>
          <w:iCs/>
          <w:noProof/>
          <w:sz w:val="16"/>
          <w:szCs w:val="16"/>
        </w:rPr>
        <w:t>et al.</w:t>
      </w:r>
      <w:r w:rsidRPr="00F902B7">
        <w:rPr>
          <w:noProof/>
          <w:sz w:val="16"/>
          <w:szCs w:val="16"/>
        </w:rPr>
        <w:t xml:space="preserve">, “Machine Learning and Deep Learning frameworks and libraries for large-scale data mining: a survey,” </w:t>
      </w:r>
      <w:r w:rsidRPr="00F902B7">
        <w:rPr>
          <w:i/>
          <w:iCs/>
          <w:noProof/>
          <w:sz w:val="16"/>
          <w:szCs w:val="16"/>
        </w:rPr>
        <w:t>Artif. Intell. Rev.</w:t>
      </w:r>
      <w:r w:rsidRPr="00F902B7">
        <w:rPr>
          <w:noProof/>
          <w:sz w:val="16"/>
          <w:szCs w:val="16"/>
        </w:rPr>
        <w:t>, vol. 52, no. 1, pp. 77–124, 2019, doi: 10.1007/s10462-018-09679-z.</w:t>
      </w:r>
    </w:p>
    <w:p w14:paraId="7A18DA4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[3]</w:t>
      </w:r>
      <w:r w:rsidRPr="00F902B7">
        <w:rPr>
          <w:noProof/>
          <w:sz w:val="16"/>
          <w:szCs w:val="16"/>
        </w:rPr>
        <w:tab/>
        <w:t xml:space="preserve">C. Shorten and T. M. Khoshgoftaar, “A survey on Image Data Augmentation for Deep Learning,” </w:t>
      </w:r>
      <w:r w:rsidRPr="00F902B7">
        <w:rPr>
          <w:i/>
          <w:iCs/>
          <w:noProof/>
          <w:sz w:val="16"/>
          <w:szCs w:val="16"/>
        </w:rPr>
        <w:t>J. Big Data</w:t>
      </w:r>
      <w:r w:rsidRPr="00F902B7">
        <w:rPr>
          <w:noProof/>
          <w:sz w:val="16"/>
          <w:szCs w:val="16"/>
        </w:rPr>
        <w:t>, vol. 6, no. 1, 2019, doi: 10.1186/s40537-019-0197-0.</w:t>
      </w:r>
    </w:p>
    <w:p w14:paraId="267A7258"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[4]</w:t>
      </w:r>
      <w:r w:rsidRPr="00F902B7">
        <w:rPr>
          <w:noProof/>
          <w:sz w:val="16"/>
          <w:szCs w:val="16"/>
        </w:rPr>
        <w:tab/>
        <w:t xml:space="preserve">R. Vinayakumar, M. Alazab, K. P. Soman, P. Poornachandran, A. Al-Nemrat, and S. Venkatraman, “Deep Learning Approach for Intelligent Intrusion Detection System,” </w:t>
      </w:r>
      <w:r w:rsidRPr="00F902B7">
        <w:rPr>
          <w:i/>
          <w:iCs/>
          <w:noProof/>
          <w:sz w:val="16"/>
          <w:szCs w:val="16"/>
        </w:rPr>
        <w:t>IEEE Access</w:t>
      </w:r>
      <w:r w:rsidRPr="00F902B7">
        <w:rPr>
          <w:noProof/>
          <w:sz w:val="16"/>
          <w:szCs w:val="16"/>
        </w:rPr>
        <w:t>, vol. 7, pp. 41525–41550, 2019, doi: 10.1109/ACCESS.2019.2895334.</w:t>
      </w:r>
    </w:p>
    <w:p w14:paraId="42815563"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[5]</w:t>
      </w:r>
      <w:r w:rsidRPr="00F902B7">
        <w:rPr>
          <w:noProof/>
          <w:sz w:val="16"/>
          <w:szCs w:val="16"/>
        </w:rPr>
        <w:tab/>
        <w:t xml:space="preserve">K. Sivaraman, R. M. V. Krishnan, B. Sundarraj, and S. Sri Gowthem, “Network failure detection and diagnosis by analyzing syslog and SNS data: Applying big data analysis to network operations,” </w:t>
      </w:r>
      <w:r w:rsidRPr="00F902B7">
        <w:rPr>
          <w:i/>
          <w:iCs/>
          <w:noProof/>
          <w:sz w:val="16"/>
          <w:szCs w:val="16"/>
        </w:rPr>
        <w:t>Int. J. Innov. Technol. Explor. Eng.</w:t>
      </w:r>
      <w:r w:rsidRPr="00F902B7">
        <w:rPr>
          <w:noProof/>
          <w:sz w:val="16"/>
          <w:szCs w:val="16"/>
        </w:rPr>
        <w:t>, vol. 8, no. 9 Special Issue 3, pp. 883–887, 2019, doi: 10.35940/ijitee.I3187.0789S319.</w:t>
      </w:r>
    </w:p>
    <w:p w14:paraId="76B5926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[6]</w:t>
      </w:r>
      <w:r w:rsidRPr="00F902B7">
        <w:rPr>
          <w:noProof/>
          <w:sz w:val="16"/>
          <w:szCs w:val="16"/>
        </w:rPr>
        <w:tab/>
        <w:t xml:space="preserve">A. D. Dwivedi, G. Srivastava, S. Dhar, and R. Singh, “A decentralized privacy-preserving healthcare blockchain for IoT,” </w:t>
      </w:r>
      <w:r w:rsidRPr="00F902B7">
        <w:rPr>
          <w:i/>
          <w:iCs/>
          <w:noProof/>
          <w:sz w:val="16"/>
          <w:szCs w:val="16"/>
        </w:rPr>
        <w:t>Sensors (Switzerland)</w:t>
      </w:r>
      <w:r w:rsidRPr="00F902B7">
        <w:rPr>
          <w:noProof/>
          <w:sz w:val="16"/>
          <w:szCs w:val="16"/>
        </w:rPr>
        <w:t>, vol. 19, no. 2, pp. 1–17, 2019, doi: 10.3390/s19020326.</w:t>
      </w:r>
    </w:p>
    <w:p w14:paraId="2EBD5DCB"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[7]</w:t>
      </w:r>
      <w:r w:rsidRPr="00F902B7">
        <w:rPr>
          <w:noProof/>
          <w:sz w:val="16"/>
          <w:szCs w:val="16"/>
        </w:rPr>
        <w:tab/>
        <w:t xml:space="preserve">F. Al-Turjman, H. Zahmatkesh, and L. Mostarda, “Quantifying uncertainty in internet of medical things and big-data services using intelligence and deep learning,” </w:t>
      </w:r>
      <w:r w:rsidRPr="00F902B7">
        <w:rPr>
          <w:i/>
          <w:iCs/>
          <w:noProof/>
          <w:sz w:val="16"/>
          <w:szCs w:val="16"/>
        </w:rPr>
        <w:t>IEEE Access</w:t>
      </w:r>
      <w:r w:rsidRPr="00F902B7">
        <w:rPr>
          <w:noProof/>
          <w:sz w:val="16"/>
          <w:szCs w:val="16"/>
        </w:rPr>
        <w:t>, vol. 7, pp. 115749–115759, 2019, doi: 10.1109/ACCESS.2019.2931637.</w:t>
      </w:r>
    </w:p>
    <w:p w14:paraId="31C4046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[8]</w:t>
      </w:r>
      <w:r w:rsidRPr="00F902B7">
        <w:rPr>
          <w:noProof/>
          <w:sz w:val="16"/>
          <w:szCs w:val="16"/>
        </w:rPr>
        <w:tab/>
        <w:t xml:space="preserve">S. Kumar and M. Singh, “Big data analytics for healthcare industry: Impact, applications, and tools,” </w:t>
      </w:r>
      <w:r w:rsidRPr="00F902B7">
        <w:rPr>
          <w:i/>
          <w:iCs/>
          <w:noProof/>
          <w:sz w:val="16"/>
          <w:szCs w:val="16"/>
        </w:rPr>
        <w:t>Big Data Min. Anal.</w:t>
      </w:r>
      <w:r w:rsidRPr="00F902B7">
        <w:rPr>
          <w:noProof/>
          <w:sz w:val="16"/>
          <w:szCs w:val="16"/>
        </w:rPr>
        <w:t>, vol. 2, no. 1, pp. 48–57, 2019, doi: 10.26599/BDMA.2018.9020031.</w:t>
      </w:r>
    </w:p>
    <w:p w14:paraId="47E973C1"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[9]</w:t>
      </w:r>
      <w:r w:rsidRPr="00F902B7">
        <w:rPr>
          <w:noProof/>
          <w:sz w:val="16"/>
          <w:szCs w:val="16"/>
        </w:rPr>
        <w:tab/>
        <w:t xml:space="preserve">L. M. Ang, K. P. Seng, G. K. Ijemaru, and A. M. Zungeru, “Deployment of IoV for Smart Cities: Applications, Architecture, and Challenges,” </w:t>
      </w:r>
      <w:r w:rsidRPr="00F902B7">
        <w:rPr>
          <w:i/>
          <w:iCs/>
          <w:noProof/>
          <w:sz w:val="16"/>
          <w:szCs w:val="16"/>
        </w:rPr>
        <w:t>IEEE Access</w:t>
      </w:r>
      <w:r w:rsidRPr="00F902B7">
        <w:rPr>
          <w:noProof/>
          <w:sz w:val="16"/>
          <w:szCs w:val="16"/>
        </w:rPr>
        <w:t>, vol. 7, pp. 6473–6492, 2019, doi: 10.1109/ACCESS.2018.2887076.</w:t>
      </w:r>
    </w:p>
    <w:p w14:paraId="620A7D8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[10]</w:t>
      </w:r>
      <w:r w:rsidRPr="00F902B7">
        <w:rPr>
          <w:noProof/>
          <w:sz w:val="16"/>
          <w:szCs w:val="16"/>
        </w:rPr>
        <w:tab/>
        <w:t xml:space="preserve">B. P. L. Lau </w:t>
      </w:r>
      <w:r w:rsidRPr="00F902B7">
        <w:rPr>
          <w:i/>
          <w:iCs/>
          <w:noProof/>
          <w:sz w:val="16"/>
          <w:szCs w:val="16"/>
        </w:rPr>
        <w:t>et al.</w:t>
      </w:r>
      <w:r w:rsidRPr="00F902B7">
        <w:rPr>
          <w:noProof/>
          <w:sz w:val="16"/>
          <w:szCs w:val="16"/>
        </w:rPr>
        <w:t xml:space="preserve">, “A survey of data fusion in smart city applications,” </w:t>
      </w:r>
      <w:r w:rsidRPr="00F902B7">
        <w:rPr>
          <w:i/>
          <w:iCs/>
          <w:noProof/>
          <w:sz w:val="16"/>
          <w:szCs w:val="16"/>
        </w:rPr>
        <w:t>Inf. Fusion</w:t>
      </w:r>
      <w:r w:rsidRPr="00F902B7">
        <w:rPr>
          <w:noProof/>
          <w:sz w:val="16"/>
          <w:szCs w:val="16"/>
        </w:rPr>
        <w:t>, vol. 52, no. January, pp. 357–374, 2019, doi: 10.1016/j.inffus.2019.05.004.</w:t>
      </w:r>
    </w:p>
    <w:p w14:paraId="477E18F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lastRenderedPageBreak/>
        <w:t>[11]</w:t>
      </w:r>
      <w:r w:rsidRPr="00F902B7">
        <w:rPr>
          <w:noProof/>
          <w:sz w:val="16"/>
          <w:szCs w:val="16"/>
        </w:rPr>
        <w:tab/>
        <w:t xml:space="preserve">Y. Wu </w:t>
      </w:r>
      <w:r w:rsidRPr="00F902B7">
        <w:rPr>
          <w:i/>
          <w:iCs/>
          <w:noProof/>
          <w:sz w:val="16"/>
          <w:szCs w:val="16"/>
        </w:rPr>
        <w:t>et al.</w:t>
      </w:r>
      <w:r w:rsidRPr="00F902B7">
        <w:rPr>
          <w:noProof/>
          <w:sz w:val="16"/>
          <w:szCs w:val="16"/>
        </w:rPr>
        <w:t xml:space="preserve">, “Large scale incremental learning,” </w:t>
      </w:r>
      <w:r w:rsidRPr="00F902B7">
        <w:rPr>
          <w:i/>
          <w:iCs/>
          <w:noProof/>
          <w:sz w:val="16"/>
          <w:szCs w:val="16"/>
        </w:rPr>
        <w:t>Proc. IEEE Comput. Soc. Conf. Comput. Vis. Pattern Recognit.</w:t>
      </w:r>
      <w:r w:rsidRPr="00F902B7">
        <w:rPr>
          <w:noProof/>
          <w:sz w:val="16"/>
          <w:szCs w:val="16"/>
        </w:rPr>
        <w:t>, vol. 2019-June, pp. 374–382, 2019, doi: 10.1109/CVPR.2019.00046.</w:t>
      </w:r>
    </w:p>
    <w:p w14:paraId="4B9026FA"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[12]</w:t>
      </w:r>
      <w:r w:rsidRPr="00F902B7">
        <w:rPr>
          <w:noProof/>
          <w:sz w:val="16"/>
          <w:szCs w:val="16"/>
        </w:rPr>
        <w:tab/>
        <w:t xml:space="preserve">A. Mosavi, S. Shamshirband, E. Salwana, K. wing Chau, and J. H. M. Tah, “Prediction of multi-inputs bubble column reactor using a novel hybrid model of computational fluid dynamics and machine learning,” </w:t>
      </w:r>
      <w:r w:rsidRPr="00F902B7">
        <w:rPr>
          <w:i/>
          <w:iCs/>
          <w:noProof/>
          <w:sz w:val="16"/>
          <w:szCs w:val="16"/>
        </w:rPr>
        <w:t>Eng. Appl. Comput. Fluid Mech.</w:t>
      </w:r>
      <w:r w:rsidRPr="00F902B7">
        <w:rPr>
          <w:noProof/>
          <w:sz w:val="16"/>
          <w:szCs w:val="16"/>
        </w:rPr>
        <w:t>, vol. 13, no. 1, pp. 482–492, 2019, doi: 10.1080/19942060.2019.1613448.</w:t>
      </w:r>
    </w:p>
    <w:p w14:paraId="74341298" w14:textId="030D2C38" w:rsidR="00E619D6" w:rsidRPr="00F902B7" w:rsidRDefault="00E619D6" w:rsidP="00E619D6">
      <w:pPr>
        <w:widowControl w:val="0"/>
        <w:autoSpaceDE w:val="0"/>
        <w:autoSpaceDN w:val="0"/>
        <w:adjustRightInd w:val="0"/>
        <w:ind w:left="426" w:hanging="426"/>
        <w:jc w:val="both"/>
        <w:rPr>
          <w:noProof/>
          <w:spacing w:val="-2"/>
          <w:sz w:val="16"/>
          <w:szCs w:val="16"/>
        </w:rPr>
      </w:pPr>
      <w:r w:rsidRPr="00F902B7">
        <w:rPr>
          <w:noProof/>
          <w:sz w:val="16"/>
          <w:szCs w:val="16"/>
        </w:rPr>
        <w:t>[13]</w:t>
      </w:r>
      <w:r w:rsidRPr="00F902B7">
        <w:rPr>
          <w:noProof/>
          <w:sz w:val="16"/>
          <w:szCs w:val="16"/>
        </w:rPr>
        <w:tab/>
      </w:r>
      <w:r w:rsidRPr="00F902B7">
        <w:rPr>
          <w:noProof/>
          <w:spacing w:val="-2"/>
          <w:sz w:val="16"/>
          <w:szCs w:val="16"/>
        </w:rPr>
        <w:t xml:space="preserve">V. Palanisamy and R. Thirunavukarasu, “Implications of big data analytics in developing healthcare frameworks – A review,” </w:t>
      </w:r>
      <w:r w:rsidRPr="00F902B7">
        <w:rPr>
          <w:i/>
          <w:iCs/>
          <w:noProof/>
          <w:spacing w:val="-2"/>
          <w:sz w:val="16"/>
          <w:szCs w:val="16"/>
        </w:rPr>
        <w:t>J. King Saud Univ. - Comput. Inf. Sci.</w:t>
      </w:r>
      <w:r w:rsidRPr="00F902B7">
        <w:rPr>
          <w:noProof/>
          <w:spacing w:val="-2"/>
          <w:sz w:val="16"/>
          <w:szCs w:val="16"/>
        </w:rPr>
        <w:t>, vol. 31, no. 4, pp. 415–425, 2019, doi: 10.1016/j.jksuci.2017.12.007.</w:t>
      </w:r>
    </w:p>
    <w:p w14:paraId="0CBA3FE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[14]</w:t>
      </w:r>
      <w:r w:rsidRPr="00F902B7">
        <w:rPr>
          <w:noProof/>
          <w:sz w:val="16"/>
          <w:szCs w:val="16"/>
        </w:rPr>
        <w:tab/>
        <w:t xml:space="preserve">J. Sadowski, “When data is capital: Datafication, accumulation, and extraction,” </w:t>
      </w:r>
      <w:r w:rsidRPr="00F902B7">
        <w:rPr>
          <w:i/>
          <w:iCs/>
          <w:noProof/>
          <w:sz w:val="16"/>
          <w:szCs w:val="16"/>
        </w:rPr>
        <w:t>Big Data Soc.</w:t>
      </w:r>
      <w:r w:rsidRPr="00F902B7">
        <w:rPr>
          <w:noProof/>
          <w:sz w:val="16"/>
          <w:szCs w:val="16"/>
        </w:rPr>
        <w:t>, vol. 6, no. 1, pp. 1–12, 2019, doi: 10.1177/2053951718820549.</w:t>
      </w:r>
    </w:p>
    <w:p w14:paraId="6031CC3E"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[15]</w:t>
      </w:r>
      <w:r w:rsidRPr="00F902B7">
        <w:rPr>
          <w:noProof/>
          <w:sz w:val="16"/>
          <w:szCs w:val="16"/>
        </w:rPr>
        <w:tab/>
        <w:t xml:space="preserve">J. R. Saura, B. R. Herraez, and A. Reyes-Menendez, “Comparing a traditional approach for financial brand communication analysis with a big data analytics technique,” </w:t>
      </w:r>
      <w:r w:rsidRPr="00F902B7">
        <w:rPr>
          <w:i/>
          <w:iCs/>
          <w:noProof/>
          <w:sz w:val="16"/>
          <w:szCs w:val="16"/>
        </w:rPr>
        <w:t>IEEE Access</w:t>
      </w:r>
      <w:r w:rsidRPr="00F902B7">
        <w:rPr>
          <w:noProof/>
          <w:sz w:val="16"/>
          <w:szCs w:val="16"/>
        </w:rPr>
        <w:t>, vol. 7, pp. 37100–37108, 2019, doi: 10.1109/ACCESS.2019.2905301.</w:t>
      </w:r>
    </w:p>
    <w:p w14:paraId="71754C2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[16]</w:t>
      </w:r>
      <w:r w:rsidRPr="00F902B7">
        <w:rPr>
          <w:noProof/>
          <w:sz w:val="16"/>
          <w:szCs w:val="16"/>
        </w:rPr>
        <w:tab/>
        <w:t xml:space="preserve">D. Nallaperuma </w:t>
      </w:r>
      <w:r w:rsidRPr="00F902B7">
        <w:rPr>
          <w:i/>
          <w:iCs/>
          <w:noProof/>
          <w:sz w:val="16"/>
          <w:szCs w:val="16"/>
        </w:rPr>
        <w:t>et al.</w:t>
      </w:r>
      <w:r w:rsidRPr="00F902B7">
        <w:rPr>
          <w:noProof/>
          <w:sz w:val="16"/>
          <w:szCs w:val="16"/>
        </w:rPr>
        <w:t xml:space="preserve">, “Online Incremental Machine Learning Platform for Big Data-Driven Smart Traffic Management,” </w:t>
      </w:r>
      <w:r w:rsidRPr="00F902B7">
        <w:rPr>
          <w:i/>
          <w:iCs/>
          <w:noProof/>
          <w:sz w:val="16"/>
          <w:szCs w:val="16"/>
        </w:rPr>
        <w:t>IEEE Trans. Intell. Transp. Syst.</w:t>
      </w:r>
      <w:r w:rsidRPr="00F902B7">
        <w:rPr>
          <w:noProof/>
          <w:sz w:val="16"/>
          <w:szCs w:val="16"/>
        </w:rPr>
        <w:t>, vol. 20, no. 12, pp. 4679–4690, 2019, doi: 10.1109/TITS.2019.2924883.</w:t>
      </w:r>
    </w:p>
    <w:p w14:paraId="3BF64D27"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[17]</w:t>
      </w:r>
      <w:r w:rsidRPr="00F902B7">
        <w:rPr>
          <w:noProof/>
          <w:sz w:val="16"/>
          <w:szCs w:val="16"/>
        </w:rPr>
        <w:tab/>
        <w:t xml:space="preserve">S. Schulz, M. Becker, M. R. Groseclose, S. Schadt, and C. Hopf, “Advanced MALDI mass spectrometry imaging in pharmaceutical research and drug development,” </w:t>
      </w:r>
      <w:r w:rsidRPr="00F902B7">
        <w:rPr>
          <w:i/>
          <w:iCs/>
          <w:noProof/>
          <w:sz w:val="16"/>
          <w:szCs w:val="16"/>
        </w:rPr>
        <w:t>Curr. Opin. Biotechnol.</w:t>
      </w:r>
      <w:r w:rsidRPr="00F902B7">
        <w:rPr>
          <w:noProof/>
          <w:sz w:val="16"/>
          <w:szCs w:val="16"/>
        </w:rPr>
        <w:t>, vol. 55, pp. 51–59, 2019, doi: 10.1016/j.copbio.2018.08.003.</w:t>
      </w:r>
    </w:p>
    <w:p w14:paraId="72FAAFCD"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[18]</w:t>
      </w:r>
      <w:r w:rsidRPr="00F902B7">
        <w:rPr>
          <w:noProof/>
          <w:sz w:val="16"/>
          <w:szCs w:val="16"/>
        </w:rPr>
        <w:tab/>
        <w:t xml:space="preserve">C. Shang and F. You, “Data Analytics and Machine Learning for Smart Process Manufacturing: Recent Advances and Perspectives in the Big Data Era,” </w:t>
      </w:r>
      <w:r w:rsidRPr="00F902B7">
        <w:rPr>
          <w:i/>
          <w:iCs/>
          <w:noProof/>
          <w:sz w:val="16"/>
          <w:szCs w:val="16"/>
        </w:rPr>
        <w:t>Engineering</w:t>
      </w:r>
      <w:r w:rsidRPr="00F902B7">
        <w:rPr>
          <w:noProof/>
          <w:sz w:val="16"/>
          <w:szCs w:val="16"/>
        </w:rPr>
        <w:t>, vol. 5, no. 6, pp. 1010–1016, 2019, doi: 10.1016/j.eng.2019.01.019.</w:t>
      </w:r>
    </w:p>
    <w:p w14:paraId="1637352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[19]</w:t>
      </w:r>
      <w:r w:rsidRPr="00F902B7">
        <w:rPr>
          <w:noProof/>
          <w:sz w:val="16"/>
          <w:szCs w:val="16"/>
        </w:rPr>
        <w:tab/>
        <w:t xml:space="preserve">Y. Yu, M. Li, L. Liu, Y. Li, and J. Wang, “Clinical big data and deep learning: Applications, challenges, and future outlooks,” </w:t>
      </w:r>
      <w:r w:rsidRPr="00F902B7">
        <w:rPr>
          <w:i/>
          <w:iCs/>
          <w:noProof/>
          <w:sz w:val="16"/>
          <w:szCs w:val="16"/>
        </w:rPr>
        <w:t>Big Data Min. Anal.</w:t>
      </w:r>
      <w:r w:rsidRPr="00F902B7">
        <w:rPr>
          <w:noProof/>
          <w:sz w:val="16"/>
          <w:szCs w:val="16"/>
        </w:rPr>
        <w:t>, vol. 2, no. 4, pp. 288–305, 2019, doi: 10.26599/BDMA.2019.9020007.</w:t>
      </w:r>
    </w:p>
    <w:p w14:paraId="5EFDC498"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[20]</w:t>
      </w:r>
      <w:r w:rsidRPr="00F902B7">
        <w:rPr>
          <w:noProof/>
          <w:sz w:val="16"/>
          <w:szCs w:val="16"/>
        </w:rPr>
        <w:tab/>
        <w:t xml:space="preserve">M. Huang, W. Liu, T. Wang, H. Song, X. Li, and A. Liu, “A queuing delay utilization scheme for on-path service aggregation in services-oriented computing networks,” </w:t>
      </w:r>
      <w:r w:rsidRPr="00F902B7">
        <w:rPr>
          <w:i/>
          <w:iCs/>
          <w:noProof/>
          <w:sz w:val="16"/>
          <w:szCs w:val="16"/>
        </w:rPr>
        <w:t>IEEE Access</w:t>
      </w:r>
      <w:r w:rsidRPr="00F902B7">
        <w:rPr>
          <w:noProof/>
          <w:sz w:val="16"/>
          <w:szCs w:val="16"/>
        </w:rPr>
        <w:t>, vol. 7, pp. 23816–23833, 2019, doi: 10.1109/ACCESS.2019.2899402.</w:t>
      </w:r>
    </w:p>
    <w:p w14:paraId="486BEF5B"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[21]</w:t>
      </w:r>
      <w:r w:rsidRPr="00F902B7">
        <w:rPr>
          <w:noProof/>
          <w:sz w:val="16"/>
          <w:szCs w:val="16"/>
        </w:rPr>
        <w:tab/>
        <w:t xml:space="preserve">G. Xu, Y. Shi, X. Sun, and W. Shen, “Internet of things in marine environment monitoring: A review,” </w:t>
      </w:r>
      <w:r w:rsidRPr="00F902B7">
        <w:rPr>
          <w:i/>
          <w:iCs/>
          <w:noProof/>
          <w:sz w:val="16"/>
          <w:szCs w:val="16"/>
        </w:rPr>
        <w:t>Sensors (Switzerland)</w:t>
      </w:r>
      <w:r w:rsidRPr="00F902B7">
        <w:rPr>
          <w:noProof/>
          <w:sz w:val="16"/>
          <w:szCs w:val="16"/>
        </w:rPr>
        <w:t>, vol. 19, no. 7, pp. 1–21, 2019, doi: 10.3390/s19071711.</w:t>
      </w:r>
    </w:p>
    <w:p w14:paraId="6FCA64BA"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[22]</w:t>
      </w:r>
      <w:r w:rsidRPr="00F902B7">
        <w:rPr>
          <w:noProof/>
          <w:sz w:val="16"/>
          <w:szCs w:val="16"/>
        </w:rPr>
        <w:tab/>
        <w:t xml:space="preserve">M. Aqib, R. Mehmood, A. Alzahrani, I. Katib, A. Albeshri, and S. M. Altowaijri, </w:t>
      </w:r>
      <w:r w:rsidRPr="00F902B7">
        <w:rPr>
          <w:i/>
          <w:iCs/>
          <w:noProof/>
          <w:sz w:val="16"/>
          <w:szCs w:val="16"/>
        </w:rPr>
        <w:t>Smarter traffic prediction using big data, in-memory computing, deep learning and gpus</w:t>
      </w:r>
      <w:r w:rsidRPr="00F902B7">
        <w:rPr>
          <w:noProof/>
          <w:sz w:val="16"/>
          <w:szCs w:val="16"/>
        </w:rPr>
        <w:t>, vol. 19, no. 9. 2019.</w:t>
      </w:r>
    </w:p>
    <w:p w14:paraId="42871846"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[23]</w:t>
      </w:r>
      <w:r w:rsidRPr="00F902B7">
        <w:rPr>
          <w:noProof/>
          <w:sz w:val="16"/>
          <w:szCs w:val="16"/>
        </w:rPr>
        <w:tab/>
        <w:t xml:space="preserve">S. Leonelli and N. Tempini, </w:t>
      </w:r>
      <w:r w:rsidRPr="00F902B7">
        <w:rPr>
          <w:i/>
          <w:iCs/>
          <w:noProof/>
          <w:sz w:val="16"/>
          <w:szCs w:val="16"/>
        </w:rPr>
        <w:t>Data Journeys in the Sciences</w:t>
      </w:r>
      <w:r w:rsidRPr="00F902B7">
        <w:rPr>
          <w:noProof/>
          <w:sz w:val="16"/>
          <w:szCs w:val="16"/>
        </w:rPr>
        <w:t>. 2020.</w:t>
      </w:r>
    </w:p>
    <w:p w14:paraId="53BB141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[24]</w:t>
      </w:r>
      <w:r w:rsidRPr="00F902B7">
        <w:rPr>
          <w:noProof/>
          <w:sz w:val="16"/>
          <w:szCs w:val="16"/>
        </w:rPr>
        <w:tab/>
        <w:t xml:space="preserve">N. Stylos and J. Zwiegelaar, </w:t>
      </w:r>
      <w:r w:rsidRPr="00F902B7">
        <w:rPr>
          <w:i/>
          <w:iCs/>
          <w:noProof/>
          <w:sz w:val="16"/>
          <w:szCs w:val="16"/>
        </w:rPr>
        <w:t>Big Data as a Game Changer: How Does It Shape Business Intelligence Within a Tourism and Hospitality Industry Context?</w:t>
      </w:r>
      <w:r w:rsidRPr="00F902B7">
        <w:rPr>
          <w:noProof/>
          <w:sz w:val="16"/>
          <w:szCs w:val="16"/>
        </w:rPr>
        <w:t xml:space="preserve"> 2019.</w:t>
      </w:r>
    </w:p>
    <w:p w14:paraId="4AFD9376"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[25]</w:t>
      </w:r>
      <w:r w:rsidRPr="00F902B7">
        <w:rPr>
          <w:noProof/>
          <w:sz w:val="16"/>
          <w:szCs w:val="16"/>
        </w:rPr>
        <w:tab/>
        <w:t xml:space="preserve">Q. Song, H. Ge, J. Caverlee, and X. Hu, “Tensor completion algorithms in big data analytics,” </w:t>
      </w:r>
      <w:r w:rsidRPr="00F902B7">
        <w:rPr>
          <w:i/>
          <w:iCs/>
          <w:noProof/>
          <w:sz w:val="16"/>
          <w:szCs w:val="16"/>
        </w:rPr>
        <w:t>arXiv</w:t>
      </w:r>
      <w:r w:rsidRPr="00F902B7">
        <w:rPr>
          <w:noProof/>
          <w:sz w:val="16"/>
          <w:szCs w:val="16"/>
        </w:rPr>
        <w:t>, vol. 13, no. 1, 2017.</w:t>
      </w:r>
    </w:p>
    <w:p w14:paraId="7D0EF40C" w14:textId="77777777" w:rsidR="00E619D6" w:rsidRPr="005D120D" w:rsidRDefault="00E619D6" w:rsidP="00E619D6">
      <w:pPr>
        <w:ind w:left="426" w:hanging="426"/>
        <w:jc w:val="both"/>
        <w:rPr>
          <w:color w:val="000000"/>
        </w:rPr>
      </w:pPr>
      <w:r w:rsidRPr="003D6B19">
        <w:rPr>
          <w:color w:val="000000"/>
          <w:sz w:val="18"/>
          <w:szCs w:val="18"/>
        </w:rPr>
        <w:fldChar w:fldCharType="end"/>
      </w:r>
    </w:p>
    <w:p w14:paraId="41B57CED" w14:textId="77777777" w:rsidR="00E619D6" w:rsidRPr="003D6B19" w:rsidRDefault="00E619D6" w:rsidP="00E619D6">
      <w:pPr>
        <w:ind w:left="426" w:hanging="426"/>
        <w:jc w:val="both"/>
        <w:rPr>
          <w:color w:val="000000"/>
        </w:rPr>
      </w:pPr>
    </w:p>
    <w:sectPr w:rsidR="00E619D6" w:rsidRPr="003D6B19" w:rsidSect="002A276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6DB8" w14:textId="77777777" w:rsidR="00CE58B3" w:rsidRDefault="00CE58B3">
      <w:r>
        <w:separator/>
      </w:r>
    </w:p>
  </w:endnote>
  <w:endnote w:type="continuationSeparator" w:id="0">
    <w:p w14:paraId="24D1D722" w14:textId="77777777" w:rsidR="00CE58B3" w:rsidRDefault="00C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2BC2" w14:textId="383032F7"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1824" behindDoc="0" locked="0" layoutInCell="1" allowOverlap="1" wp14:anchorId="307E942D" wp14:editId="1F7CC4B4">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391157"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D73712">
      <w:t xml:space="preserve">IIUC Journal of Science </w:t>
    </w:r>
    <w:r w:rsidR="00E66AC9">
      <w:t>and Engineering</w:t>
    </w:r>
    <w:r w:rsidR="00784C44" w:rsidRPr="00E619D6">
      <w:t xml:space="preserve">, </w:t>
    </w:r>
    <w:r w:rsidR="00097958" w:rsidRPr="00E619D6">
      <w:t xml:space="preserve">Vol. </w:t>
    </w:r>
    <w:r w:rsidR="00D73712">
      <w:t>01</w:t>
    </w:r>
    <w:r w:rsidR="00097958" w:rsidRPr="00E619D6">
      <w:t xml:space="preserve">, No. </w:t>
    </w:r>
    <w:r w:rsidR="00D167B5">
      <w:t>1</w:t>
    </w:r>
    <w:r w:rsidR="0055343D" w:rsidRPr="00E619D6">
      <w:t xml:space="preserve">, </w:t>
    </w:r>
    <w:r w:rsidR="00E66AC9">
      <w:t>Year</w:t>
    </w:r>
    <w:r w:rsidR="003A2810" w:rsidRPr="00735BBC">
      <w:t xml:space="preserve"> </w:t>
    </w:r>
    <w:r w:rsidR="00D73712">
      <w:t>XX</w:t>
    </w:r>
    <w:r w:rsidR="00D11713">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B96C" w14:textId="1AAC3AC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1092EF7B">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92EF1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03DE0">
      <w:rPr>
        <w:noProof/>
      </w:rPr>
      <w:t>Title or shor form of the title (8pt)</w:t>
    </w:r>
    <w:r w:rsidR="00354A58" w:rsidRPr="00552051">
      <w:rPr>
        <w:i/>
        <w:iCs/>
        <w:noProof/>
      </w:rPr>
      <w:t xml:space="preserv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DD03" w14:textId="595BA916"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0288" behindDoc="0" locked="0" layoutInCell="1" allowOverlap="1" wp14:anchorId="066E0B6C" wp14:editId="646FA9DB">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0A43C5"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93CF" w14:textId="77777777" w:rsidR="00CE58B3" w:rsidRDefault="00CE58B3">
      <w:r>
        <w:separator/>
      </w:r>
    </w:p>
  </w:footnote>
  <w:footnote w:type="continuationSeparator" w:id="0">
    <w:p w14:paraId="5902A43C" w14:textId="77777777" w:rsidR="00CE58B3" w:rsidRDefault="00CE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051E5">
      <w:rPr>
        <w:rStyle w:val="PageNumber"/>
        <w:noProof/>
      </w:rPr>
      <w:t>4</w:t>
    </w:r>
    <w:r w:rsidRPr="003D5B84">
      <w:rPr>
        <w:rStyle w:val="PageNumber"/>
      </w:rPr>
      <w:fldChar w:fldCharType="end"/>
    </w:r>
  </w:p>
  <w:p w14:paraId="7F150106" w14:textId="7B23D67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558400" behindDoc="0" locked="0" layoutInCell="1" allowOverlap="1" wp14:anchorId="36240665" wp14:editId="6C824E61">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D63146"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D73712">
      <w:t>XXXX</w:t>
    </w:r>
    <w:r w:rsidR="008B060F" w:rsidRPr="003D5B84">
      <w:t>-</w:t>
    </w:r>
    <w:r w:rsidR="00D73712">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051E5">
      <w:rPr>
        <w:rStyle w:val="PageNumber"/>
        <w:noProof/>
      </w:rPr>
      <w:t>5</w:t>
    </w:r>
    <w:r w:rsidRPr="003D5B84">
      <w:rPr>
        <w:rStyle w:val="PageNumber"/>
      </w:rPr>
      <w:fldChar w:fldCharType="end"/>
    </w:r>
  </w:p>
  <w:p w14:paraId="72D04B55" w14:textId="790E5E6E" w:rsidR="00097958" w:rsidRPr="003D5B84" w:rsidRDefault="00D73712" w:rsidP="00222701">
    <w:pPr>
      <w:pStyle w:val="Header"/>
      <w:tabs>
        <w:tab w:val="clear" w:pos="4320"/>
        <w:tab w:val="clear" w:pos="8640"/>
        <w:tab w:val="left" w:pos="0"/>
        <w:tab w:val="center" w:pos="4301"/>
        <w:tab w:val="left" w:pos="7938"/>
      </w:tabs>
    </w:pPr>
    <w:r>
      <w:t>IIUC Journal of Science</w:t>
    </w:r>
    <w:r w:rsidR="00E66AC9">
      <w:t xml:space="preserve"> and </w:t>
    </w:r>
    <w:r>
      <w:t>Engineering</w:t>
    </w:r>
    <w:r w:rsidR="00E66AC9">
      <w:t xml:space="preserve">                  </w:t>
    </w:r>
    <w:r>
      <w:t xml:space="preserve">                   </w:t>
    </w:r>
    <w:r w:rsidR="00097958" w:rsidRPr="003D5B84">
      <w:t>ISSN:</w:t>
    </w:r>
    <w:r w:rsidR="004F4003">
      <w:t xml:space="preserve"> </w:t>
    </w:r>
    <w:r>
      <w:t>XXXX</w:t>
    </w:r>
    <w:r w:rsidR="00E5155C" w:rsidRPr="003D5B84">
      <w:t>-</w:t>
    </w:r>
    <w:r>
      <w:t>XXXX</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597312" behindDoc="0" locked="0" layoutInCell="1" allowOverlap="1" wp14:anchorId="485510DB" wp14:editId="5E05CC55">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79C6E6"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4F80" w14:textId="1206AB17" w:rsidR="008B060F" w:rsidRPr="003D5B84" w:rsidRDefault="008B060F" w:rsidP="008B04B3">
    <w:pPr>
      <w:pStyle w:val="Header"/>
      <w:tabs>
        <w:tab w:val="clear" w:pos="4320"/>
        <w:tab w:val="clear" w:pos="8640"/>
      </w:tabs>
      <w:ind w:right="45"/>
      <w:rPr>
        <w:b/>
      </w:rPr>
    </w:pPr>
    <w:r w:rsidRPr="003D5B84">
      <w:rPr>
        <w:b/>
      </w:rPr>
      <w:t>I</w:t>
    </w:r>
    <w:r w:rsidR="00E66AC9">
      <w:rPr>
        <w:b/>
      </w:rPr>
      <w:t xml:space="preserve">IUC Journal of Science and </w:t>
    </w:r>
    <w:r w:rsidR="007D6E10">
      <w:rPr>
        <w:b/>
      </w:rPr>
      <w:t>Engineering</w:t>
    </w:r>
  </w:p>
  <w:p w14:paraId="43B9CC0C" w14:textId="6FCE4903" w:rsidR="002F6BBA" w:rsidRPr="00851B56" w:rsidRDefault="002F6BBA" w:rsidP="008B04B3">
    <w:pPr>
      <w:pStyle w:val="Header"/>
      <w:tabs>
        <w:tab w:val="clear" w:pos="4320"/>
        <w:tab w:val="clear" w:pos="8640"/>
      </w:tabs>
      <w:ind w:right="45"/>
    </w:pPr>
    <w:bookmarkStart w:id="19" w:name="_Hlk80000548"/>
    <w:r w:rsidRPr="00851B56">
      <w:t>Vol.</w:t>
    </w:r>
    <w:r w:rsidR="00E57D47" w:rsidRPr="00851B56">
      <w:t xml:space="preserve"> </w:t>
    </w:r>
    <w:r w:rsidR="007D6E10">
      <w:t>01</w:t>
    </w:r>
    <w:r w:rsidRPr="00851B56">
      <w:t>, No.</w:t>
    </w:r>
    <w:r w:rsidR="00E57D47" w:rsidRPr="00851B56">
      <w:t xml:space="preserve"> </w:t>
    </w:r>
    <w:r w:rsidR="006E0C37" w:rsidRPr="00851B56">
      <w:t>1</w:t>
    </w:r>
    <w:r w:rsidRPr="00851B56">
      <w:t xml:space="preserve">, </w:t>
    </w:r>
    <w:r w:rsidR="0075769A" w:rsidRPr="00851B56">
      <w:t xml:space="preserve">pp. </w:t>
    </w:r>
    <w:r w:rsidR="006E0C37" w:rsidRPr="00851B56">
      <w:t>1</w:t>
    </w:r>
    <w:r w:rsidR="008B060F" w:rsidRPr="00851B56">
      <w:t>~</w:t>
    </w:r>
    <w:r w:rsidR="006E0C37" w:rsidRPr="00851B56">
      <w:t>1x</w:t>
    </w:r>
    <w:r w:rsidR="00803862">
      <w:t xml:space="preserve">, </w:t>
    </w:r>
    <w:r w:rsidR="00803862">
      <w:t>Year</w:t>
    </w:r>
    <w:r w:rsidR="00803862" w:rsidRPr="00851B56">
      <w:t xml:space="preserve"> </w:t>
    </w:r>
    <w:r w:rsidR="00803862">
      <w:t>01</w:t>
    </w:r>
  </w:p>
  <w:bookmarkEnd w:id="19"/>
  <w:p w14:paraId="2A371CCD" w14:textId="1EF3AA6C" w:rsidR="00097958" w:rsidRDefault="002F6BBA" w:rsidP="00E77E1F">
    <w:pPr>
      <w:pStyle w:val="Header"/>
      <w:tabs>
        <w:tab w:val="clear" w:pos="4320"/>
        <w:tab w:val="clear" w:pos="8640"/>
        <w:tab w:val="left" w:pos="7938"/>
        <w:tab w:val="right" w:pos="8789"/>
      </w:tabs>
      <w:rPr>
        <w:rStyle w:val="PageNumber"/>
      </w:rPr>
    </w:pPr>
    <w:r w:rsidRPr="00851B56">
      <w:t xml:space="preserve">ISSN: </w:t>
    </w:r>
    <w:proofErr w:type="spellStart"/>
    <w:r w:rsidR="007D6E10">
      <w:t>xxxx-xxxx</w:t>
    </w:r>
    <w:proofErr w:type="spellEnd"/>
    <w:r w:rsidR="00847569" w:rsidRPr="00851B56">
      <w:t xml:space="preserve">, DOI: </w:t>
    </w:r>
    <w:proofErr w:type="spellStart"/>
    <w:r w:rsidR="007D6E10">
      <w:t>xxxxxxxxxxxx</w:t>
    </w:r>
    <w:proofErr w:type="spellEnd"/>
    <w:r w:rsidR="008B060F" w:rsidRPr="003D5B84">
      <w:tab/>
    </w:r>
    <w:r w:rsidR="00097958" w:rsidRPr="003D5B84">
      <w:t xml:space="preserve">   </w:t>
    </w:r>
    <w:r w:rsidR="00855965" w:rsidRPr="003D5B84">
      <w:t xml:space="preserve"> </w:t>
    </w:r>
    <w:r w:rsidR="00E5155C" w:rsidRPr="003D5B84">
      <w:tab/>
    </w:r>
    <w:r w:rsidR="00050148">
      <w:rPr>
        <w:noProof/>
      </w:rPr>
      <mc:AlternateContent>
        <mc:Choice Requires="wps">
          <w:drawing>
            <wp:anchor distT="0" distB="0" distL="114300" distR="114300" simplePos="0" relativeHeight="251772416" behindDoc="0" locked="0" layoutInCell="1" allowOverlap="1" wp14:anchorId="480481AD" wp14:editId="6FF9FD19">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C12C98"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7FD"/>
    <w:rsid w:val="000158D0"/>
    <w:rsid w:val="00015F2A"/>
    <w:rsid w:val="00017858"/>
    <w:rsid w:val="000225E4"/>
    <w:rsid w:val="00022D47"/>
    <w:rsid w:val="00027142"/>
    <w:rsid w:val="000279BE"/>
    <w:rsid w:val="00034C84"/>
    <w:rsid w:val="000416A3"/>
    <w:rsid w:val="000437AE"/>
    <w:rsid w:val="000442C6"/>
    <w:rsid w:val="000474E3"/>
    <w:rsid w:val="00047710"/>
    <w:rsid w:val="00050148"/>
    <w:rsid w:val="000523C5"/>
    <w:rsid w:val="00053FB7"/>
    <w:rsid w:val="00055411"/>
    <w:rsid w:val="0006020A"/>
    <w:rsid w:val="00060330"/>
    <w:rsid w:val="00060F5C"/>
    <w:rsid w:val="00061D77"/>
    <w:rsid w:val="00062720"/>
    <w:rsid w:val="00062EE6"/>
    <w:rsid w:val="00064AB2"/>
    <w:rsid w:val="00065191"/>
    <w:rsid w:val="00066063"/>
    <w:rsid w:val="000663E1"/>
    <w:rsid w:val="0007067D"/>
    <w:rsid w:val="0007154C"/>
    <w:rsid w:val="0007236F"/>
    <w:rsid w:val="00073422"/>
    <w:rsid w:val="00073635"/>
    <w:rsid w:val="00076C16"/>
    <w:rsid w:val="0007731B"/>
    <w:rsid w:val="000776D4"/>
    <w:rsid w:val="00080CCD"/>
    <w:rsid w:val="000830A2"/>
    <w:rsid w:val="00083B9D"/>
    <w:rsid w:val="00083DD6"/>
    <w:rsid w:val="00085121"/>
    <w:rsid w:val="00086551"/>
    <w:rsid w:val="000877AC"/>
    <w:rsid w:val="00087876"/>
    <w:rsid w:val="00087AF7"/>
    <w:rsid w:val="00090546"/>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30AE"/>
    <w:rsid w:val="000C4B17"/>
    <w:rsid w:val="000C730A"/>
    <w:rsid w:val="000D099B"/>
    <w:rsid w:val="000D3712"/>
    <w:rsid w:val="000D50C8"/>
    <w:rsid w:val="000D6591"/>
    <w:rsid w:val="000D67F7"/>
    <w:rsid w:val="000D6BC3"/>
    <w:rsid w:val="000D7AC9"/>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6E19"/>
    <w:rsid w:val="00177E2C"/>
    <w:rsid w:val="00180992"/>
    <w:rsid w:val="00180FD2"/>
    <w:rsid w:val="00180FD4"/>
    <w:rsid w:val="00181509"/>
    <w:rsid w:val="00181965"/>
    <w:rsid w:val="00185202"/>
    <w:rsid w:val="00187B69"/>
    <w:rsid w:val="0019050C"/>
    <w:rsid w:val="00192E8C"/>
    <w:rsid w:val="0019377B"/>
    <w:rsid w:val="0019391D"/>
    <w:rsid w:val="00193F7B"/>
    <w:rsid w:val="00194FC9"/>
    <w:rsid w:val="00195579"/>
    <w:rsid w:val="001A0839"/>
    <w:rsid w:val="001A33EF"/>
    <w:rsid w:val="001B2439"/>
    <w:rsid w:val="001B26CF"/>
    <w:rsid w:val="001B2EF9"/>
    <w:rsid w:val="001B4AB3"/>
    <w:rsid w:val="001B5250"/>
    <w:rsid w:val="001B5719"/>
    <w:rsid w:val="001B621C"/>
    <w:rsid w:val="001B64D0"/>
    <w:rsid w:val="001B7915"/>
    <w:rsid w:val="001C0FE6"/>
    <w:rsid w:val="001C19EB"/>
    <w:rsid w:val="001C1DDC"/>
    <w:rsid w:val="001C26FB"/>
    <w:rsid w:val="001C7A4E"/>
    <w:rsid w:val="001C7AC5"/>
    <w:rsid w:val="001D04CA"/>
    <w:rsid w:val="001D19C3"/>
    <w:rsid w:val="001D218B"/>
    <w:rsid w:val="001E0AB3"/>
    <w:rsid w:val="001E1922"/>
    <w:rsid w:val="001E2071"/>
    <w:rsid w:val="001E2F96"/>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1F3F"/>
    <w:rsid w:val="00204431"/>
    <w:rsid w:val="002045BC"/>
    <w:rsid w:val="0020464A"/>
    <w:rsid w:val="00204A25"/>
    <w:rsid w:val="0020608E"/>
    <w:rsid w:val="002073B6"/>
    <w:rsid w:val="002076CA"/>
    <w:rsid w:val="002079DD"/>
    <w:rsid w:val="00211BCA"/>
    <w:rsid w:val="00212DCC"/>
    <w:rsid w:val="00213B7B"/>
    <w:rsid w:val="002141C1"/>
    <w:rsid w:val="00215A82"/>
    <w:rsid w:val="00216F2A"/>
    <w:rsid w:val="00220914"/>
    <w:rsid w:val="002215FE"/>
    <w:rsid w:val="0022191D"/>
    <w:rsid w:val="00221D61"/>
    <w:rsid w:val="00221FB3"/>
    <w:rsid w:val="002224C4"/>
    <w:rsid w:val="00222701"/>
    <w:rsid w:val="00223324"/>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6E24"/>
    <w:rsid w:val="002575A8"/>
    <w:rsid w:val="00260476"/>
    <w:rsid w:val="00261B88"/>
    <w:rsid w:val="0026229E"/>
    <w:rsid w:val="002622CD"/>
    <w:rsid w:val="00266574"/>
    <w:rsid w:val="002668F8"/>
    <w:rsid w:val="00270E78"/>
    <w:rsid w:val="00271390"/>
    <w:rsid w:val="002714E9"/>
    <w:rsid w:val="002718C5"/>
    <w:rsid w:val="00271AB9"/>
    <w:rsid w:val="0027245E"/>
    <w:rsid w:val="00272BB5"/>
    <w:rsid w:val="002743A4"/>
    <w:rsid w:val="00274BCC"/>
    <w:rsid w:val="00275343"/>
    <w:rsid w:val="00275406"/>
    <w:rsid w:val="002769E7"/>
    <w:rsid w:val="00277772"/>
    <w:rsid w:val="00281882"/>
    <w:rsid w:val="00281D99"/>
    <w:rsid w:val="002821B9"/>
    <w:rsid w:val="002833E0"/>
    <w:rsid w:val="0028450D"/>
    <w:rsid w:val="00291EBF"/>
    <w:rsid w:val="00292DBC"/>
    <w:rsid w:val="00296D8E"/>
    <w:rsid w:val="002A0772"/>
    <w:rsid w:val="002A276C"/>
    <w:rsid w:val="002A708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4E92"/>
    <w:rsid w:val="002E60FC"/>
    <w:rsid w:val="002E6409"/>
    <w:rsid w:val="002F137A"/>
    <w:rsid w:val="002F267D"/>
    <w:rsid w:val="002F3D30"/>
    <w:rsid w:val="002F41A4"/>
    <w:rsid w:val="002F48E3"/>
    <w:rsid w:val="002F6BBA"/>
    <w:rsid w:val="002F6DFA"/>
    <w:rsid w:val="002F7C5F"/>
    <w:rsid w:val="0030038F"/>
    <w:rsid w:val="003004E7"/>
    <w:rsid w:val="00302D7F"/>
    <w:rsid w:val="00303DE0"/>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579E0"/>
    <w:rsid w:val="00361EB1"/>
    <w:rsid w:val="003629D1"/>
    <w:rsid w:val="003637CE"/>
    <w:rsid w:val="00366D08"/>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485"/>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65AD"/>
    <w:rsid w:val="00407351"/>
    <w:rsid w:val="00407C2D"/>
    <w:rsid w:val="004106DF"/>
    <w:rsid w:val="00411A71"/>
    <w:rsid w:val="00411C0C"/>
    <w:rsid w:val="0041364A"/>
    <w:rsid w:val="0041399A"/>
    <w:rsid w:val="00414535"/>
    <w:rsid w:val="00414EA0"/>
    <w:rsid w:val="0041737A"/>
    <w:rsid w:val="00420D64"/>
    <w:rsid w:val="00424E85"/>
    <w:rsid w:val="00425BE9"/>
    <w:rsid w:val="00427072"/>
    <w:rsid w:val="00432932"/>
    <w:rsid w:val="0043585C"/>
    <w:rsid w:val="00441F35"/>
    <w:rsid w:val="00443205"/>
    <w:rsid w:val="004439D2"/>
    <w:rsid w:val="004503E9"/>
    <w:rsid w:val="00453463"/>
    <w:rsid w:val="00453F49"/>
    <w:rsid w:val="004550E4"/>
    <w:rsid w:val="004610EC"/>
    <w:rsid w:val="004637E8"/>
    <w:rsid w:val="0046396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2DD8"/>
    <w:rsid w:val="004A335F"/>
    <w:rsid w:val="004A3F3D"/>
    <w:rsid w:val="004A4FDB"/>
    <w:rsid w:val="004A5FC0"/>
    <w:rsid w:val="004A7316"/>
    <w:rsid w:val="004A7C83"/>
    <w:rsid w:val="004B1FFE"/>
    <w:rsid w:val="004B2F8C"/>
    <w:rsid w:val="004B460B"/>
    <w:rsid w:val="004B4EDE"/>
    <w:rsid w:val="004B589F"/>
    <w:rsid w:val="004B661B"/>
    <w:rsid w:val="004B69E8"/>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0E1F"/>
    <w:rsid w:val="004F101E"/>
    <w:rsid w:val="004F2A11"/>
    <w:rsid w:val="004F3166"/>
    <w:rsid w:val="004F3208"/>
    <w:rsid w:val="004F4003"/>
    <w:rsid w:val="004F54D2"/>
    <w:rsid w:val="004F6193"/>
    <w:rsid w:val="004F7FC9"/>
    <w:rsid w:val="00500785"/>
    <w:rsid w:val="00500C65"/>
    <w:rsid w:val="00501713"/>
    <w:rsid w:val="00505F41"/>
    <w:rsid w:val="0050794C"/>
    <w:rsid w:val="0051075B"/>
    <w:rsid w:val="00511236"/>
    <w:rsid w:val="00511539"/>
    <w:rsid w:val="00512DE0"/>
    <w:rsid w:val="0051361F"/>
    <w:rsid w:val="00515455"/>
    <w:rsid w:val="005160A8"/>
    <w:rsid w:val="00516317"/>
    <w:rsid w:val="00516615"/>
    <w:rsid w:val="005174FF"/>
    <w:rsid w:val="00520EC3"/>
    <w:rsid w:val="0052138C"/>
    <w:rsid w:val="005213A1"/>
    <w:rsid w:val="00521EC1"/>
    <w:rsid w:val="00523156"/>
    <w:rsid w:val="00523362"/>
    <w:rsid w:val="00523B26"/>
    <w:rsid w:val="00524089"/>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3D36"/>
    <w:rsid w:val="00545E9C"/>
    <w:rsid w:val="00547658"/>
    <w:rsid w:val="0054768C"/>
    <w:rsid w:val="0055343D"/>
    <w:rsid w:val="0055649A"/>
    <w:rsid w:val="00563102"/>
    <w:rsid w:val="00572013"/>
    <w:rsid w:val="00573257"/>
    <w:rsid w:val="00575F6D"/>
    <w:rsid w:val="005775FF"/>
    <w:rsid w:val="005778F7"/>
    <w:rsid w:val="00577A3F"/>
    <w:rsid w:val="005805DF"/>
    <w:rsid w:val="0058279C"/>
    <w:rsid w:val="0058326E"/>
    <w:rsid w:val="005833B8"/>
    <w:rsid w:val="00583A03"/>
    <w:rsid w:val="005841BA"/>
    <w:rsid w:val="00584301"/>
    <w:rsid w:val="005857EE"/>
    <w:rsid w:val="005877F2"/>
    <w:rsid w:val="00592442"/>
    <w:rsid w:val="0059283B"/>
    <w:rsid w:val="00592F00"/>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511"/>
    <w:rsid w:val="005D02EE"/>
    <w:rsid w:val="005D0C1B"/>
    <w:rsid w:val="005D120D"/>
    <w:rsid w:val="005D210E"/>
    <w:rsid w:val="005D3D27"/>
    <w:rsid w:val="005D3F83"/>
    <w:rsid w:val="005D464B"/>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7711"/>
    <w:rsid w:val="006206C7"/>
    <w:rsid w:val="00622EC4"/>
    <w:rsid w:val="0062488B"/>
    <w:rsid w:val="006327F1"/>
    <w:rsid w:val="00632A03"/>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2661"/>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0C37"/>
    <w:rsid w:val="006E361D"/>
    <w:rsid w:val="006E3810"/>
    <w:rsid w:val="006E44B1"/>
    <w:rsid w:val="006E492E"/>
    <w:rsid w:val="006E4C9D"/>
    <w:rsid w:val="006E5333"/>
    <w:rsid w:val="006E58AF"/>
    <w:rsid w:val="006E5DCF"/>
    <w:rsid w:val="006E669C"/>
    <w:rsid w:val="006E786F"/>
    <w:rsid w:val="006E7CF8"/>
    <w:rsid w:val="006F01C3"/>
    <w:rsid w:val="006F1251"/>
    <w:rsid w:val="006F5B9E"/>
    <w:rsid w:val="006F7480"/>
    <w:rsid w:val="0070124C"/>
    <w:rsid w:val="007017C6"/>
    <w:rsid w:val="007027BB"/>
    <w:rsid w:val="00705140"/>
    <w:rsid w:val="00705B09"/>
    <w:rsid w:val="007066C5"/>
    <w:rsid w:val="00710CA7"/>
    <w:rsid w:val="00712FFF"/>
    <w:rsid w:val="007142C8"/>
    <w:rsid w:val="00717A32"/>
    <w:rsid w:val="00720729"/>
    <w:rsid w:val="007212E2"/>
    <w:rsid w:val="00723DEB"/>
    <w:rsid w:val="007240E7"/>
    <w:rsid w:val="007258FD"/>
    <w:rsid w:val="007277F9"/>
    <w:rsid w:val="007315A7"/>
    <w:rsid w:val="00731AEB"/>
    <w:rsid w:val="00732039"/>
    <w:rsid w:val="00735BBC"/>
    <w:rsid w:val="00740C36"/>
    <w:rsid w:val="00741A8F"/>
    <w:rsid w:val="00742008"/>
    <w:rsid w:val="00743BA0"/>
    <w:rsid w:val="00747DFD"/>
    <w:rsid w:val="00753C3E"/>
    <w:rsid w:val="00754329"/>
    <w:rsid w:val="007547A1"/>
    <w:rsid w:val="00756935"/>
    <w:rsid w:val="00756A93"/>
    <w:rsid w:val="0075769A"/>
    <w:rsid w:val="00765DEF"/>
    <w:rsid w:val="00766E46"/>
    <w:rsid w:val="00770E6E"/>
    <w:rsid w:val="00771A7C"/>
    <w:rsid w:val="0077230A"/>
    <w:rsid w:val="00772725"/>
    <w:rsid w:val="00773EB7"/>
    <w:rsid w:val="007751AA"/>
    <w:rsid w:val="00777AD7"/>
    <w:rsid w:val="007840F3"/>
    <w:rsid w:val="00784C44"/>
    <w:rsid w:val="007912CE"/>
    <w:rsid w:val="007934C4"/>
    <w:rsid w:val="0079451D"/>
    <w:rsid w:val="00795966"/>
    <w:rsid w:val="007A04C8"/>
    <w:rsid w:val="007A3102"/>
    <w:rsid w:val="007A3B30"/>
    <w:rsid w:val="007A3FC0"/>
    <w:rsid w:val="007A49BA"/>
    <w:rsid w:val="007A609F"/>
    <w:rsid w:val="007A7484"/>
    <w:rsid w:val="007B39E8"/>
    <w:rsid w:val="007B3EF9"/>
    <w:rsid w:val="007B57A1"/>
    <w:rsid w:val="007B7535"/>
    <w:rsid w:val="007C0D3D"/>
    <w:rsid w:val="007C2A08"/>
    <w:rsid w:val="007C60D8"/>
    <w:rsid w:val="007D0AC6"/>
    <w:rsid w:val="007D2077"/>
    <w:rsid w:val="007D4DC3"/>
    <w:rsid w:val="007D60C6"/>
    <w:rsid w:val="007D6E10"/>
    <w:rsid w:val="007D76E7"/>
    <w:rsid w:val="007D7A78"/>
    <w:rsid w:val="007E5812"/>
    <w:rsid w:val="007E68A5"/>
    <w:rsid w:val="007F01C2"/>
    <w:rsid w:val="007F1EC7"/>
    <w:rsid w:val="007F286F"/>
    <w:rsid w:val="007F2C82"/>
    <w:rsid w:val="007F36F4"/>
    <w:rsid w:val="007F3EAF"/>
    <w:rsid w:val="007F40B0"/>
    <w:rsid w:val="007F5F38"/>
    <w:rsid w:val="007F665B"/>
    <w:rsid w:val="00802116"/>
    <w:rsid w:val="00803862"/>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2A5C"/>
    <w:rsid w:val="008332DA"/>
    <w:rsid w:val="008344C2"/>
    <w:rsid w:val="00834BAC"/>
    <w:rsid w:val="00836D01"/>
    <w:rsid w:val="008373F8"/>
    <w:rsid w:val="008379F3"/>
    <w:rsid w:val="00837EA3"/>
    <w:rsid w:val="00840495"/>
    <w:rsid w:val="008439A0"/>
    <w:rsid w:val="00843BE9"/>
    <w:rsid w:val="00847569"/>
    <w:rsid w:val="008508FF"/>
    <w:rsid w:val="00850CAC"/>
    <w:rsid w:val="00851B56"/>
    <w:rsid w:val="0085238C"/>
    <w:rsid w:val="008530DA"/>
    <w:rsid w:val="0085352C"/>
    <w:rsid w:val="008538D0"/>
    <w:rsid w:val="00853BF4"/>
    <w:rsid w:val="00854ED5"/>
    <w:rsid w:val="00855965"/>
    <w:rsid w:val="00856356"/>
    <w:rsid w:val="008563F2"/>
    <w:rsid w:val="00860671"/>
    <w:rsid w:val="00860F0E"/>
    <w:rsid w:val="008629D4"/>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4B7F"/>
    <w:rsid w:val="008A5452"/>
    <w:rsid w:val="008A6436"/>
    <w:rsid w:val="008A6E5D"/>
    <w:rsid w:val="008B04B3"/>
    <w:rsid w:val="008B0584"/>
    <w:rsid w:val="008B060F"/>
    <w:rsid w:val="008B144F"/>
    <w:rsid w:val="008B1A88"/>
    <w:rsid w:val="008B279B"/>
    <w:rsid w:val="008B3B85"/>
    <w:rsid w:val="008B4221"/>
    <w:rsid w:val="008B42E3"/>
    <w:rsid w:val="008B4E8C"/>
    <w:rsid w:val="008B60B8"/>
    <w:rsid w:val="008B7CA2"/>
    <w:rsid w:val="008C12BE"/>
    <w:rsid w:val="008C1B93"/>
    <w:rsid w:val="008C22C7"/>
    <w:rsid w:val="008C309B"/>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37DF"/>
    <w:rsid w:val="008F5A4B"/>
    <w:rsid w:val="008F5EF9"/>
    <w:rsid w:val="008F5F6F"/>
    <w:rsid w:val="008F75D4"/>
    <w:rsid w:val="00900EC1"/>
    <w:rsid w:val="00901214"/>
    <w:rsid w:val="00904D6D"/>
    <w:rsid w:val="00904EC8"/>
    <w:rsid w:val="00906951"/>
    <w:rsid w:val="0091187A"/>
    <w:rsid w:val="009128F9"/>
    <w:rsid w:val="00912FBC"/>
    <w:rsid w:val="009135FA"/>
    <w:rsid w:val="00913D3B"/>
    <w:rsid w:val="00913F75"/>
    <w:rsid w:val="00915DA5"/>
    <w:rsid w:val="009162AB"/>
    <w:rsid w:val="00917EBE"/>
    <w:rsid w:val="00921D05"/>
    <w:rsid w:val="0092257C"/>
    <w:rsid w:val="00923121"/>
    <w:rsid w:val="00923F6F"/>
    <w:rsid w:val="00925CC8"/>
    <w:rsid w:val="009314C3"/>
    <w:rsid w:val="009317FD"/>
    <w:rsid w:val="00933C70"/>
    <w:rsid w:val="009406FF"/>
    <w:rsid w:val="00941203"/>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72DAA"/>
    <w:rsid w:val="0097684D"/>
    <w:rsid w:val="00981036"/>
    <w:rsid w:val="00981E5F"/>
    <w:rsid w:val="00983846"/>
    <w:rsid w:val="00990CC8"/>
    <w:rsid w:val="0099227E"/>
    <w:rsid w:val="009949C5"/>
    <w:rsid w:val="00997C10"/>
    <w:rsid w:val="009A19B2"/>
    <w:rsid w:val="009A4193"/>
    <w:rsid w:val="009B3EC0"/>
    <w:rsid w:val="009B4878"/>
    <w:rsid w:val="009B5FE8"/>
    <w:rsid w:val="009B62B1"/>
    <w:rsid w:val="009B7695"/>
    <w:rsid w:val="009B76C2"/>
    <w:rsid w:val="009C06E2"/>
    <w:rsid w:val="009C080D"/>
    <w:rsid w:val="009C142A"/>
    <w:rsid w:val="009C5293"/>
    <w:rsid w:val="009D41DF"/>
    <w:rsid w:val="009D709E"/>
    <w:rsid w:val="009E0249"/>
    <w:rsid w:val="009E055A"/>
    <w:rsid w:val="009E0F0F"/>
    <w:rsid w:val="009E2DB3"/>
    <w:rsid w:val="009E36AC"/>
    <w:rsid w:val="009E41D1"/>
    <w:rsid w:val="009E44AE"/>
    <w:rsid w:val="009E4FB4"/>
    <w:rsid w:val="009E5694"/>
    <w:rsid w:val="009E585B"/>
    <w:rsid w:val="009E742D"/>
    <w:rsid w:val="009E7D5A"/>
    <w:rsid w:val="009F040E"/>
    <w:rsid w:val="009F1F65"/>
    <w:rsid w:val="009F3146"/>
    <w:rsid w:val="00A01765"/>
    <w:rsid w:val="00A02DD3"/>
    <w:rsid w:val="00A04D6C"/>
    <w:rsid w:val="00A05622"/>
    <w:rsid w:val="00A100B6"/>
    <w:rsid w:val="00A1136A"/>
    <w:rsid w:val="00A12DD9"/>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02D2"/>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2751"/>
    <w:rsid w:val="00AC374E"/>
    <w:rsid w:val="00AC60ED"/>
    <w:rsid w:val="00AD1A38"/>
    <w:rsid w:val="00AD2373"/>
    <w:rsid w:val="00AD4DF3"/>
    <w:rsid w:val="00AD564C"/>
    <w:rsid w:val="00AD5DF4"/>
    <w:rsid w:val="00AD7639"/>
    <w:rsid w:val="00AE041B"/>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9E7"/>
    <w:rsid w:val="00B43B73"/>
    <w:rsid w:val="00B514D3"/>
    <w:rsid w:val="00B51BC7"/>
    <w:rsid w:val="00B51E2C"/>
    <w:rsid w:val="00B52134"/>
    <w:rsid w:val="00B56063"/>
    <w:rsid w:val="00B570B0"/>
    <w:rsid w:val="00B57714"/>
    <w:rsid w:val="00B61620"/>
    <w:rsid w:val="00B64061"/>
    <w:rsid w:val="00B6529B"/>
    <w:rsid w:val="00B65BB6"/>
    <w:rsid w:val="00B7048C"/>
    <w:rsid w:val="00B71D8A"/>
    <w:rsid w:val="00B73F7D"/>
    <w:rsid w:val="00B743B9"/>
    <w:rsid w:val="00B768D7"/>
    <w:rsid w:val="00B7753D"/>
    <w:rsid w:val="00B778A3"/>
    <w:rsid w:val="00B809F3"/>
    <w:rsid w:val="00B85932"/>
    <w:rsid w:val="00B87588"/>
    <w:rsid w:val="00B92474"/>
    <w:rsid w:val="00BA2419"/>
    <w:rsid w:val="00BA2A58"/>
    <w:rsid w:val="00BB0F2F"/>
    <w:rsid w:val="00BB1C66"/>
    <w:rsid w:val="00BB3596"/>
    <w:rsid w:val="00BB3FB3"/>
    <w:rsid w:val="00BB48F9"/>
    <w:rsid w:val="00BB524D"/>
    <w:rsid w:val="00BB5385"/>
    <w:rsid w:val="00BB5653"/>
    <w:rsid w:val="00BB6E3C"/>
    <w:rsid w:val="00BC06CF"/>
    <w:rsid w:val="00BC0E05"/>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2FF2"/>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3DCD"/>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1C74"/>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1D59"/>
    <w:rsid w:val="00C723B3"/>
    <w:rsid w:val="00C72659"/>
    <w:rsid w:val="00C734AC"/>
    <w:rsid w:val="00C73BD7"/>
    <w:rsid w:val="00C80CAC"/>
    <w:rsid w:val="00C81C9C"/>
    <w:rsid w:val="00C82325"/>
    <w:rsid w:val="00C8516B"/>
    <w:rsid w:val="00C854C1"/>
    <w:rsid w:val="00C85B81"/>
    <w:rsid w:val="00C9178F"/>
    <w:rsid w:val="00C93F76"/>
    <w:rsid w:val="00C9655A"/>
    <w:rsid w:val="00C96FCA"/>
    <w:rsid w:val="00C9754D"/>
    <w:rsid w:val="00C975DF"/>
    <w:rsid w:val="00CA5D84"/>
    <w:rsid w:val="00CC1960"/>
    <w:rsid w:val="00CC2F23"/>
    <w:rsid w:val="00CC7B7A"/>
    <w:rsid w:val="00CD0D1B"/>
    <w:rsid w:val="00CD4F70"/>
    <w:rsid w:val="00CE1CF3"/>
    <w:rsid w:val="00CE4BC0"/>
    <w:rsid w:val="00CE58B3"/>
    <w:rsid w:val="00CE70F3"/>
    <w:rsid w:val="00CE7365"/>
    <w:rsid w:val="00CE7659"/>
    <w:rsid w:val="00CF0E18"/>
    <w:rsid w:val="00CF0ED1"/>
    <w:rsid w:val="00CF1C58"/>
    <w:rsid w:val="00CF29A4"/>
    <w:rsid w:val="00CF2F2E"/>
    <w:rsid w:val="00CF4D01"/>
    <w:rsid w:val="00CF624D"/>
    <w:rsid w:val="00CF6E34"/>
    <w:rsid w:val="00D0495F"/>
    <w:rsid w:val="00D0506E"/>
    <w:rsid w:val="00D060CE"/>
    <w:rsid w:val="00D066D9"/>
    <w:rsid w:val="00D076EF"/>
    <w:rsid w:val="00D07778"/>
    <w:rsid w:val="00D108C5"/>
    <w:rsid w:val="00D10D1E"/>
    <w:rsid w:val="00D10D7A"/>
    <w:rsid w:val="00D11713"/>
    <w:rsid w:val="00D1187F"/>
    <w:rsid w:val="00D11C2D"/>
    <w:rsid w:val="00D13CDB"/>
    <w:rsid w:val="00D1618D"/>
    <w:rsid w:val="00D167B1"/>
    <w:rsid w:val="00D167B5"/>
    <w:rsid w:val="00D16D1B"/>
    <w:rsid w:val="00D21F66"/>
    <w:rsid w:val="00D24B66"/>
    <w:rsid w:val="00D24C22"/>
    <w:rsid w:val="00D26476"/>
    <w:rsid w:val="00D31492"/>
    <w:rsid w:val="00D3478B"/>
    <w:rsid w:val="00D35E12"/>
    <w:rsid w:val="00D413DD"/>
    <w:rsid w:val="00D4189D"/>
    <w:rsid w:val="00D424E3"/>
    <w:rsid w:val="00D4255A"/>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57774"/>
    <w:rsid w:val="00D61C85"/>
    <w:rsid w:val="00D624E5"/>
    <w:rsid w:val="00D634A8"/>
    <w:rsid w:val="00D64C3D"/>
    <w:rsid w:val="00D65A1C"/>
    <w:rsid w:val="00D67099"/>
    <w:rsid w:val="00D71939"/>
    <w:rsid w:val="00D72D27"/>
    <w:rsid w:val="00D73317"/>
    <w:rsid w:val="00D73712"/>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44BA"/>
    <w:rsid w:val="00DB7BD1"/>
    <w:rsid w:val="00DB7C8A"/>
    <w:rsid w:val="00DC2DC5"/>
    <w:rsid w:val="00DC341B"/>
    <w:rsid w:val="00DC4758"/>
    <w:rsid w:val="00DD0E87"/>
    <w:rsid w:val="00DD2BCD"/>
    <w:rsid w:val="00DD35E7"/>
    <w:rsid w:val="00DD4EAF"/>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575"/>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1B42"/>
    <w:rsid w:val="00E41B8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6AC9"/>
    <w:rsid w:val="00E67E51"/>
    <w:rsid w:val="00E72731"/>
    <w:rsid w:val="00E76BE0"/>
    <w:rsid w:val="00E76BE5"/>
    <w:rsid w:val="00E7790B"/>
    <w:rsid w:val="00E77E10"/>
    <w:rsid w:val="00E77E1F"/>
    <w:rsid w:val="00E81714"/>
    <w:rsid w:val="00E91546"/>
    <w:rsid w:val="00E91678"/>
    <w:rsid w:val="00E9206E"/>
    <w:rsid w:val="00E93438"/>
    <w:rsid w:val="00E93F64"/>
    <w:rsid w:val="00E93F6D"/>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682"/>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5C2D"/>
    <w:rsid w:val="00EF754D"/>
    <w:rsid w:val="00F027E9"/>
    <w:rsid w:val="00F051E5"/>
    <w:rsid w:val="00F0775E"/>
    <w:rsid w:val="00F15BF4"/>
    <w:rsid w:val="00F15F69"/>
    <w:rsid w:val="00F1612D"/>
    <w:rsid w:val="00F173DD"/>
    <w:rsid w:val="00F21119"/>
    <w:rsid w:val="00F25164"/>
    <w:rsid w:val="00F266B5"/>
    <w:rsid w:val="00F277D3"/>
    <w:rsid w:val="00F27B3E"/>
    <w:rsid w:val="00F30392"/>
    <w:rsid w:val="00F30997"/>
    <w:rsid w:val="00F32896"/>
    <w:rsid w:val="00F33C08"/>
    <w:rsid w:val="00F35ADB"/>
    <w:rsid w:val="00F37235"/>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CA3"/>
    <w:rsid w:val="00F75EF9"/>
    <w:rsid w:val="00F77A9B"/>
    <w:rsid w:val="00F83035"/>
    <w:rsid w:val="00F866B0"/>
    <w:rsid w:val="00F869EF"/>
    <w:rsid w:val="00F86BE4"/>
    <w:rsid w:val="00F86C7B"/>
    <w:rsid w:val="00F86D61"/>
    <w:rsid w:val="00F902B7"/>
    <w:rsid w:val="00F905B6"/>
    <w:rsid w:val="00F90B31"/>
    <w:rsid w:val="00F914B2"/>
    <w:rsid w:val="00F926B9"/>
    <w:rsid w:val="00F9541D"/>
    <w:rsid w:val="00FA0403"/>
    <w:rsid w:val="00FA0CE6"/>
    <w:rsid w:val="00FA35FB"/>
    <w:rsid w:val="00FA5742"/>
    <w:rsid w:val="00FA597D"/>
    <w:rsid w:val="00FA5B9A"/>
    <w:rsid w:val="00FA7BF0"/>
    <w:rsid w:val="00FB01B9"/>
    <w:rsid w:val="00FB763A"/>
    <w:rsid w:val="00FB79C0"/>
    <w:rsid w:val="00FC2EB8"/>
    <w:rsid w:val="00FC5C43"/>
    <w:rsid w:val="00FD1598"/>
    <w:rsid w:val="00FD576E"/>
    <w:rsid w:val="00FD596B"/>
    <w:rsid w:val="00FD6FBB"/>
    <w:rsid w:val="00FE58CC"/>
    <w:rsid w:val="00FE75A9"/>
    <w:rsid w:val="00FF058D"/>
    <w:rsid w:val="00FF1D8E"/>
    <w:rsid w:val="00FF2440"/>
    <w:rsid w:val="00FF322C"/>
    <w:rsid w:val="00FF33B7"/>
    <w:rsid w:val="00FF3922"/>
    <w:rsid w:val="00FF3DD5"/>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ighlight">
    <w:name w:val="highlight"/>
    <w:basedOn w:val="DefaultParagraphFont"/>
    <w:rsid w:val="00BE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8F71-7B44-4BED-B927-8BF89DBA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International Journal of Electrical and Computer Engineering (IJECE)</vt:lpstr>
    </vt:vector>
  </TitlesOfParts>
  <Company>IAES | Institute of Advanced Engineering and Science</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Electrical and Computer Engineering (IJECE)</dc:title>
  <dc:creator>IJECE</dc:creator>
  <cp:keywords>artificial intelligence &amp; soft computing; automation; big data &amp; cloud computing; circuits &amp; electronics; computer science &amp; information technology; digital signal; electrical &amp; power engineering; image &amp; video processing; instrumentation &amp; control engineering; internet of things; power electronics &amp; drives; telecommunication system &amp; technology;</cp:keywords>
  <dc:description>IJECE Template and Guide of Authors</dc:description>
  <cp:lastModifiedBy>Windows User</cp:lastModifiedBy>
  <cp:revision>2</cp:revision>
  <cp:lastPrinted>2023-12-23T08:24:00Z</cp:lastPrinted>
  <dcterms:created xsi:type="dcterms:W3CDTF">2023-12-23T08:25:00Z</dcterms:created>
  <dcterms:modified xsi:type="dcterms:W3CDTF">2023-12-23T08:25:00Z</dcterms:modified>
  <cp:category/>
</cp:coreProperties>
</file>